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EF785F" w:rsidTr="00EF785F">
        <w:trPr>
          <w:jc w:val="center"/>
        </w:trPr>
        <w:tc>
          <w:tcPr>
            <w:tcW w:w="8820" w:type="dxa"/>
            <w:gridSpan w:val="2"/>
          </w:tcPr>
          <w:p w:rsidR="00EF785F" w:rsidRDefault="00C33042">
            <w:pPr>
              <w:suppressLineNumbers/>
              <w:jc w:val="both"/>
              <w:rPr>
                <w:rFonts w:ascii="Arial" w:hAnsi="Arial"/>
                <w:b/>
                <w:bCs/>
                <w:sz w:val="26"/>
                <w:szCs w:val="26"/>
              </w:rPr>
            </w:pPr>
            <w:bookmarkStart w:id="0" w:name="_GoBack"/>
            <w:bookmarkEnd w:id="0"/>
            <w:r>
              <w:rPr>
                <w:rFonts w:ascii="Arial" w:hAnsi="Arial"/>
                <w:b/>
                <w:bCs/>
                <w:sz w:val="26"/>
                <w:szCs w:val="26"/>
                <w:rtl/>
              </w:rPr>
              <w:t>בפני הרכב כבוד השופטים:</w:t>
            </w:r>
          </w:p>
          <w:p w:rsidR="00EF785F" w:rsidRDefault="00C33042">
            <w:pPr>
              <w:suppressLineNumbers/>
              <w:rPr>
                <w:rFonts w:ascii="Arial" w:hAnsi="Arial"/>
                <w:b/>
                <w:bCs/>
                <w:sz w:val="26"/>
                <w:szCs w:val="26"/>
              </w:rPr>
            </w:pPr>
            <w:r>
              <w:rPr>
                <w:rFonts w:ascii="Arial" w:hAnsi="Arial"/>
                <w:b/>
                <w:bCs/>
                <w:sz w:val="26"/>
                <w:szCs w:val="26"/>
                <w:rtl/>
              </w:rPr>
              <w:t>סארי ג'יוסי [אב"ד]</w:t>
            </w:r>
          </w:p>
          <w:p w:rsidR="00EF785F" w:rsidRDefault="00C33042">
            <w:pPr>
              <w:suppressLineNumbers/>
              <w:rPr>
                <w:rFonts w:ascii="Arial" w:hAnsi="Arial"/>
                <w:b/>
                <w:bCs/>
                <w:sz w:val="26"/>
                <w:szCs w:val="26"/>
                <w:rtl/>
              </w:rPr>
            </w:pPr>
            <w:r>
              <w:rPr>
                <w:rFonts w:ascii="Arial" w:hAnsi="Arial"/>
                <w:b/>
                <w:bCs/>
                <w:sz w:val="26"/>
                <w:szCs w:val="26"/>
                <w:rtl/>
              </w:rPr>
              <w:t>עפרה אטיאס</w:t>
            </w:r>
          </w:p>
          <w:p w:rsidR="00EF785F" w:rsidRDefault="00C33042">
            <w:pPr>
              <w:suppressLineNumbers/>
              <w:rPr>
                <w:rFonts w:ascii="Arial" w:hAnsi="Arial"/>
                <w:b/>
                <w:bCs/>
                <w:sz w:val="26"/>
                <w:szCs w:val="26"/>
                <w:rtl/>
              </w:rPr>
            </w:pPr>
            <w:r>
              <w:rPr>
                <w:rFonts w:ascii="Arial" w:hAnsi="Arial"/>
                <w:b/>
                <w:bCs/>
                <w:sz w:val="26"/>
                <w:szCs w:val="26"/>
                <w:rtl/>
              </w:rPr>
              <w:t>ניצן סילמן</w:t>
            </w:r>
          </w:p>
          <w:p w:rsidR="00EF785F" w:rsidRDefault="003D62CC">
            <w:pPr>
              <w:suppressLineNumbers/>
              <w:rPr>
                <w:sz w:val="26"/>
                <w:szCs w:val="26"/>
                <w:rtl/>
              </w:rPr>
            </w:pPr>
          </w:p>
        </w:tc>
      </w:tr>
      <w:tr w:rsidR="00EF785F" w:rsidTr="00EF785F">
        <w:trPr>
          <w:jc w:val="center"/>
        </w:trPr>
        <w:tc>
          <w:tcPr>
            <w:tcW w:w="3249" w:type="dxa"/>
          </w:tcPr>
          <w:p w:rsidR="00EF785F" w:rsidRDefault="003D62CC">
            <w:pPr>
              <w:suppressLineNumbers/>
            </w:pPr>
          </w:p>
          <w:p w:rsidR="00EF785F" w:rsidRDefault="00C33042">
            <w:pPr>
              <w:suppressLineNumbers/>
              <w:rPr>
                <w:rFonts w:ascii="Arial" w:hAnsi="Arial"/>
                <w:b/>
                <w:bCs/>
                <w:sz w:val="26"/>
                <w:szCs w:val="26"/>
                <w:u w:val="single"/>
                <w:rtl/>
              </w:rPr>
            </w:pPr>
            <w:r>
              <w:rPr>
                <w:rFonts w:ascii="Arial" w:hAnsi="Arial"/>
                <w:b/>
                <w:bCs/>
                <w:sz w:val="26"/>
                <w:szCs w:val="26"/>
                <w:u w:val="single"/>
                <w:rtl/>
              </w:rPr>
              <w:t>המערערת</w:t>
            </w:r>
          </w:p>
        </w:tc>
        <w:tc>
          <w:tcPr>
            <w:tcW w:w="5571" w:type="dxa"/>
          </w:tcPr>
          <w:p w:rsidR="00EF785F" w:rsidRDefault="003D62CC">
            <w:pPr>
              <w:suppressLineNumbers/>
              <w:rPr>
                <w:rtl/>
              </w:rPr>
            </w:pPr>
          </w:p>
          <w:p w:rsidR="00EF785F" w:rsidRDefault="00C33042" w:rsidP="006B419E">
            <w:pPr>
              <w:suppressLineNumbers/>
              <w:rPr>
                <w:b/>
                <w:bCs/>
                <w:sz w:val="26"/>
                <w:szCs w:val="26"/>
                <w:rtl/>
              </w:rPr>
            </w:pPr>
            <w:r>
              <w:rPr>
                <w:rFonts w:ascii="Arial" w:hAnsi="Arial"/>
                <w:b/>
                <w:bCs/>
                <w:sz w:val="26"/>
                <w:szCs w:val="26"/>
                <w:rtl/>
              </w:rPr>
              <w:t>כ</w:t>
            </w:r>
            <w:r w:rsidR="00ED6EB2">
              <w:rPr>
                <w:rFonts w:ascii="Arial" w:hAnsi="Arial" w:hint="cs"/>
                <w:b/>
                <w:bCs/>
                <w:sz w:val="26"/>
                <w:szCs w:val="26"/>
                <w:rtl/>
              </w:rPr>
              <w:t>'</w:t>
            </w:r>
            <w:r>
              <w:rPr>
                <w:rFonts w:ascii="Arial" w:hAnsi="Arial"/>
                <w:b/>
                <w:bCs/>
                <w:sz w:val="26"/>
                <w:szCs w:val="26"/>
                <w:rtl/>
              </w:rPr>
              <w:t xml:space="preserve"> ב</w:t>
            </w:r>
            <w:r w:rsidR="00ED6EB2">
              <w:rPr>
                <w:rFonts w:ascii="Arial" w:hAnsi="Arial" w:hint="cs"/>
                <w:b/>
                <w:bCs/>
                <w:sz w:val="26"/>
                <w:szCs w:val="26"/>
                <w:rtl/>
              </w:rPr>
              <w:t>'</w:t>
            </w:r>
            <w:r w:rsidR="006B419E">
              <w:rPr>
                <w:rFonts w:hint="cs"/>
                <w:b/>
                <w:bCs/>
                <w:sz w:val="26"/>
                <w:szCs w:val="26"/>
                <w:rtl/>
              </w:rPr>
              <w:t xml:space="preserve"> </w:t>
            </w:r>
          </w:p>
          <w:p w:rsidR="00D5653C" w:rsidRDefault="00D5653C">
            <w:pPr>
              <w:suppressLineNumbers/>
              <w:rPr>
                <w:b/>
                <w:bCs/>
                <w:sz w:val="26"/>
                <w:szCs w:val="26"/>
                <w:rtl/>
              </w:rPr>
            </w:pPr>
            <w:r>
              <w:rPr>
                <w:rFonts w:hint="cs"/>
                <w:b/>
                <w:bCs/>
                <w:sz w:val="26"/>
                <w:szCs w:val="26"/>
                <w:rtl/>
              </w:rPr>
              <w:t>ע"י ב"כ עוה"ד י. סגל ואח'</w:t>
            </w:r>
          </w:p>
        </w:tc>
      </w:tr>
      <w:tr w:rsidR="00EF785F" w:rsidTr="00EF785F">
        <w:trPr>
          <w:jc w:val="center"/>
        </w:trPr>
        <w:tc>
          <w:tcPr>
            <w:tcW w:w="8820" w:type="dxa"/>
            <w:gridSpan w:val="2"/>
          </w:tcPr>
          <w:p w:rsidR="00EF785F" w:rsidRPr="00D5653C" w:rsidRDefault="003D62CC">
            <w:pPr>
              <w:suppressLineNumbers/>
              <w:rPr>
                <w:rFonts w:ascii="Arial" w:hAnsi="Arial"/>
                <w:b/>
                <w:bCs/>
                <w:sz w:val="26"/>
                <w:szCs w:val="26"/>
              </w:rPr>
            </w:pPr>
          </w:p>
          <w:p w:rsidR="00EF785F" w:rsidRDefault="00C33042">
            <w:pPr>
              <w:suppressLineNumbers/>
              <w:jc w:val="center"/>
              <w:rPr>
                <w:rFonts w:ascii="Arial" w:hAnsi="Arial"/>
                <w:b/>
                <w:bCs/>
                <w:sz w:val="26"/>
                <w:szCs w:val="26"/>
                <w:rtl/>
              </w:rPr>
            </w:pPr>
            <w:r>
              <w:rPr>
                <w:rFonts w:ascii="Arial" w:hAnsi="Arial"/>
                <w:b/>
                <w:bCs/>
                <w:sz w:val="26"/>
                <w:szCs w:val="26"/>
                <w:rtl/>
              </w:rPr>
              <w:t>נגד</w:t>
            </w:r>
          </w:p>
          <w:p w:rsidR="00EF785F" w:rsidRDefault="003D62CC">
            <w:pPr>
              <w:suppressLineNumbers/>
              <w:rPr>
                <w:rFonts w:ascii="Arial" w:hAnsi="Arial"/>
                <w:b/>
                <w:bCs/>
                <w:sz w:val="26"/>
                <w:szCs w:val="26"/>
                <w:rtl/>
              </w:rPr>
            </w:pPr>
          </w:p>
        </w:tc>
      </w:tr>
      <w:tr w:rsidR="00EF785F" w:rsidTr="00EF785F">
        <w:trPr>
          <w:jc w:val="center"/>
        </w:trPr>
        <w:tc>
          <w:tcPr>
            <w:tcW w:w="3249" w:type="dxa"/>
            <w:hideMark/>
          </w:tcPr>
          <w:p w:rsidR="00EF785F" w:rsidRDefault="00C33042">
            <w:pPr>
              <w:suppressLineNumbers/>
              <w:rPr>
                <w:rFonts w:ascii="Arial" w:hAnsi="Arial"/>
                <w:b/>
                <w:bCs/>
                <w:sz w:val="26"/>
                <w:szCs w:val="26"/>
                <w:u w:val="single"/>
              </w:rPr>
            </w:pPr>
            <w:r>
              <w:rPr>
                <w:rFonts w:ascii="Arial" w:hAnsi="Arial"/>
                <w:b/>
                <w:bCs/>
                <w:sz w:val="26"/>
                <w:szCs w:val="26"/>
                <w:u w:val="single"/>
                <w:rtl/>
              </w:rPr>
              <w:t>המשיבים</w:t>
            </w:r>
          </w:p>
        </w:tc>
        <w:tc>
          <w:tcPr>
            <w:tcW w:w="5571" w:type="dxa"/>
            <w:hideMark/>
          </w:tcPr>
          <w:p w:rsidR="00EF785F" w:rsidRDefault="00C33042" w:rsidP="006B419E">
            <w:pPr>
              <w:suppressLineNumbers/>
              <w:rPr>
                <w:rFonts w:ascii="Arial" w:hAnsi="Arial"/>
                <w:b/>
                <w:bCs/>
                <w:sz w:val="26"/>
                <w:szCs w:val="26"/>
              </w:rPr>
            </w:pPr>
            <w:r>
              <w:rPr>
                <w:rFonts w:ascii="Arial" w:hAnsi="Arial"/>
                <w:b/>
                <w:bCs/>
                <w:sz w:val="26"/>
                <w:szCs w:val="26"/>
                <w:rtl/>
              </w:rPr>
              <w:t>1. צ</w:t>
            </w:r>
            <w:r w:rsidR="00ED6EB2">
              <w:rPr>
                <w:rFonts w:ascii="Arial" w:hAnsi="Arial" w:hint="cs"/>
                <w:b/>
                <w:bCs/>
                <w:sz w:val="26"/>
                <w:szCs w:val="26"/>
                <w:rtl/>
              </w:rPr>
              <w:t xml:space="preserve">' </w:t>
            </w:r>
            <w:r>
              <w:rPr>
                <w:rFonts w:ascii="Arial" w:hAnsi="Arial"/>
                <w:b/>
                <w:bCs/>
                <w:sz w:val="26"/>
                <w:szCs w:val="26"/>
                <w:rtl/>
              </w:rPr>
              <w:t>ב</w:t>
            </w:r>
            <w:r w:rsidR="00ED6EB2">
              <w:rPr>
                <w:rFonts w:ascii="Arial" w:hAnsi="Arial" w:hint="cs"/>
                <w:b/>
                <w:bCs/>
                <w:sz w:val="26"/>
                <w:szCs w:val="26"/>
                <w:rtl/>
              </w:rPr>
              <w:t>'</w:t>
            </w:r>
            <w:r w:rsidR="006B419E">
              <w:rPr>
                <w:rFonts w:ascii="Arial" w:hAnsi="Arial"/>
                <w:b/>
                <w:bCs/>
                <w:sz w:val="26"/>
                <w:szCs w:val="26"/>
                <w:rtl/>
              </w:rPr>
              <w:t xml:space="preserve"> </w:t>
            </w:r>
          </w:p>
          <w:p w:rsidR="00EF785F" w:rsidRDefault="00C33042" w:rsidP="00ED6EB2">
            <w:pPr>
              <w:suppressLineNumbers/>
              <w:rPr>
                <w:rFonts w:ascii="Arial" w:hAnsi="Arial"/>
                <w:b/>
                <w:bCs/>
                <w:sz w:val="26"/>
                <w:szCs w:val="26"/>
                <w:rtl/>
              </w:rPr>
            </w:pPr>
            <w:r>
              <w:rPr>
                <w:rFonts w:ascii="Arial" w:hAnsi="Arial"/>
                <w:b/>
                <w:bCs/>
                <w:sz w:val="26"/>
                <w:szCs w:val="26"/>
                <w:rtl/>
              </w:rPr>
              <w:t>2. כ</w:t>
            </w:r>
            <w:r w:rsidR="00ED6EB2">
              <w:rPr>
                <w:rFonts w:ascii="Arial" w:hAnsi="Arial" w:hint="cs"/>
                <w:b/>
                <w:bCs/>
                <w:sz w:val="26"/>
                <w:szCs w:val="26"/>
                <w:rtl/>
              </w:rPr>
              <w:t>'</w:t>
            </w:r>
            <w:r>
              <w:rPr>
                <w:rFonts w:ascii="Arial" w:hAnsi="Arial"/>
                <w:b/>
                <w:bCs/>
                <w:sz w:val="26"/>
                <w:szCs w:val="26"/>
                <w:rtl/>
              </w:rPr>
              <w:t xml:space="preserve"> ג</w:t>
            </w:r>
            <w:r w:rsidR="00ED6EB2">
              <w:rPr>
                <w:rFonts w:ascii="Arial" w:hAnsi="Arial" w:hint="cs"/>
                <w:b/>
                <w:bCs/>
                <w:sz w:val="26"/>
                <w:szCs w:val="26"/>
                <w:rtl/>
              </w:rPr>
              <w:t>'</w:t>
            </w:r>
          </w:p>
          <w:p w:rsidR="00EF785F" w:rsidRDefault="00C33042" w:rsidP="00ED6EB2">
            <w:pPr>
              <w:suppressLineNumbers/>
              <w:rPr>
                <w:rFonts w:ascii="Arial" w:hAnsi="Arial"/>
                <w:b/>
                <w:bCs/>
                <w:sz w:val="26"/>
                <w:szCs w:val="26"/>
                <w:rtl/>
              </w:rPr>
            </w:pPr>
            <w:r>
              <w:rPr>
                <w:rFonts w:ascii="Arial" w:hAnsi="Arial"/>
                <w:b/>
                <w:bCs/>
                <w:sz w:val="26"/>
                <w:szCs w:val="26"/>
                <w:rtl/>
              </w:rPr>
              <w:t>3. ר</w:t>
            </w:r>
            <w:r w:rsidR="00ED6EB2">
              <w:rPr>
                <w:rFonts w:ascii="Arial" w:hAnsi="Arial" w:hint="cs"/>
                <w:b/>
                <w:bCs/>
                <w:sz w:val="26"/>
                <w:szCs w:val="26"/>
                <w:rtl/>
              </w:rPr>
              <w:t>'</w:t>
            </w:r>
            <w:r>
              <w:rPr>
                <w:rFonts w:ascii="Arial" w:hAnsi="Arial"/>
                <w:b/>
                <w:bCs/>
                <w:sz w:val="26"/>
                <w:szCs w:val="26"/>
                <w:rtl/>
              </w:rPr>
              <w:t xml:space="preserve"> ס</w:t>
            </w:r>
            <w:r w:rsidR="006B419E">
              <w:rPr>
                <w:rFonts w:ascii="Arial" w:hAnsi="Arial" w:hint="cs"/>
                <w:b/>
                <w:bCs/>
                <w:sz w:val="26"/>
                <w:szCs w:val="26"/>
                <w:rtl/>
              </w:rPr>
              <w:t>'</w:t>
            </w:r>
          </w:p>
          <w:p w:rsidR="00EF785F" w:rsidRDefault="00C33042" w:rsidP="00ED6EB2">
            <w:pPr>
              <w:suppressLineNumbers/>
              <w:rPr>
                <w:rFonts w:ascii="Arial" w:hAnsi="Arial"/>
                <w:b/>
                <w:bCs/>
                <w:sz w:val="26"/>
                <w:szCs w:val="26"/>
                <w:rtl/>
              </w:rPr>
            </w:pPr>
            <w:r>
              <w:rPr>
                <w:rFonts w:ascii="Arial" w:hAnsi="Arial"/>
                <w:b/>
                <w:bCs/>
                <w:sz w:val="26"/>
                <w:szCs w:val="26"/>
                <w:rtl/>
              </w:rPr>
              <w:t>4. מ</w:t>
            </w:r>
            <w:r w:rsidR="00ED6EB2">
              <w:rPr>
                <w:rFonts w:ascii="Arial" w:hAnsi="Arial" w:hint="cs"/>
                <w:b/>
                <w:bCs/>
                <w:sz w:val="26"/>
                <w:szCs w:val="26"/>
                <w:rtl/>
              </w:rPr>
              <w:t>'</w:t>
            </w:r>
            <w:r>
              <w:rPr>
                <w:rFonts w:ascii="Arial" w:hAnsi="Arial"/>
                <w:b/>
                <w:bCs/>
                <w:sz w:val="26"/>
                <w:szCs w:val="26"/>
                <w:rtl/>
              </w:rPr>
              <w:t xml:space="preserve"> </w:t>
            </w:r>
            <w:r w:rsidR="00ED6EB2">
              <w:rPr>
                <w:rFonts w:ascii="Arial" w:hAnsi="Arial" w:hint="cs"/>
                <w:b/>
                <w:bCs/>
                <w:sz w:val="26"/>
                <w:szCs w:val="26"/>
                <w:rtl/>
              </w:rPr>
              <w:t>ב'</w:t>
            </w:r>
          </w:p>
          <w:p w:rsidR="00D5653C" w:rsidRDefault="00D5653C">
            <w:pPr>
              <w:suppressLineNumbers/>
              <w:rPr>
                <w:rFonts w:ascii="Arial" w:hAnsi="Arial"/>
                <w:b/>
                <w:bCs/>
                <w:sz w:val="26"/>
                <w:szCs w:val="26"/>
                <w:rtl/>
              </w:rPr>
            </w:pPr>
            <w:r>
              <w:rPr>
                <w:rFonts w:ascii="Arial" w:hAnsi="Arial" w:hint="cs"/>
                <w:b/>
                <w:bCs/>
                <w:sz w:val="26"/>
                <w:szCs w:val="26"/>
                <w:rtl/>
              </w:rPr>
              <w:t>ע"י ב"כ עוה"ד א. שיבר ואח'</w:t>
            </w:r>
          </w:p>
        </w:tc>
      </w:tr>
    </w:tbl>
    <w:p w:rsidR="00EF785F" w:rsidRDefault="003D62CC" w:rsidP="00EF785F">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33042" w:rsidTr="00C33042">
        <w:trPr>
          <w:jc w:val="center"/>
        </w:trPr>
        <w:tc>
          <w:tcPr>
            <w:tcW w:w="8820" w:type="dxa"/>
          </w:tcPr>
          <w:p w:rsidR="00C33042" w:rsidRDefault="00C33042">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C33042" w:rsidRDefault="00C33042">
            <w:pPr>
              <w:bidi w:val="0"/>
              <w:jc w:val="center"/>
              <w:rPr>
                <w:rFonts w:ascii="Arial" w:hAnsi="Arial"/>
                <w:b/>
                <w:bCs/>
                <w:noProof w:val="0"/>
                <w:sz w:val="28"/>
                <w:szCs w:val="28"/>
                <w:u w:val="single"/>
                <w:rtl/>
              </w:rPr>
            </w:pPr>
          </w:p>
        </w:tc>
      </w:tr>
    </w:tbl>
    <w:p w:rsidR="00C33042" w:rsidRDefault="00C33042" w:rsidP="00C33042">
      <w:pPr>
        <w:pStyle w:val="ad"/>
        <w:numPr>
          <w:ilvl w:val="0"/>
          <w:numId w:val="1"/>
        </w:numPr>
        <w:spacing w:line="360" w:lineRule="auto"/>
        <w:ind w:left="368" w:hanging="284"/>
        <w:jc w:val="both"/>
        <w:rPr>
          <w:rFonts w:ascii="David" w:hAnsi="David" w:cs="David"/>
          <w:sz w:val="24"/>
          <w:szCs w:val="24"/>
        </w:rPr>
      </w:pPr>
      <w:r>
        <w:rPr>
          <w:rFonts w:ascii="David" w:hAnsi="David" w:cs="David"/>
          <w:sz w:val="24"/>
          <w:szCs w:val="24"/>
          <w:rtl/>
        </w:rPr>
        <w:t>לפנינו ערעור על פסק דינו של בית משפט לענייני משפחה בחיפה (כב' השופטת הבכירה שושנה ברגר) בתמ"ש 47146-10-19 מיום 18.9.22.</w:t>
      </w:r>
    </w:p>
    <w:p w:rsidR="00C33042" w:rsidRDefault="00C33042" w:rsidP="00C33042">
      <w:pPr>
        <w:spacing w:line="360" w:lineRule="auto"/>
        <w:ind w:left="84"/>
        <w:jc w:val="both"/>
        <w:rPr>
          <w:rFonts w:ascii="David" w:hAnsi="David"/>
          <w:b/>
          <w:bCs/>
          <w:sz w:val="28"/>
          <w:szCs w:val="28"/>
          <w:u w:val="single"/>
        </w:rPr>
      </w:pPr>
      <w:r>
        <w:rPr>
          <w:rFonts w:ascii="David" w:hAnsi="David"/>
          <w:b/>
          <w:bCs/>
          <w:sz w:val="28"/>
          <w:szCs w:val="28"/>
          <w:u w:val="single"/>
          <w:rtl/>
        </w:rPr>
        <w:t>רקע</w:t>
      </w:r>
      <w:r>
        <w:rPr>
          <w:rFonts w:ascii="David" w:hAnsi="David"/>
          <w:b/>
          <w:bCs/>
          <w:sz w:val="28"/>
          <w:szCs w:val="28"/>
          <w:rtl/>
        </w:rPr>
        <w:t>:</w:t>
      </w:r>
    </w:p>
    <w:p w:rsidR="00C33042" w:rsidRDefault="00C33042" w:rsidP="00ED6EB2">
      <w:pPr>
        <w:pStyle w:val="ad"/>
        <w:numPr>
          <w:ilvl w:val="0"/>
          <w:numId w:val="1"/>
        </w:numPr>
        <w:spacing w:line="360" w:lineRule="auto"/>
        <w:ind w:left="368" w:hanging="284"/>
        <w:jc w:val="both"/>
        <w:rPr>
          <w:rFonts w:ascii="David" w:hAnsi="David" w:cs="David"/>
          <w:sz w:val="24"/>
          <w:szCs w:val="24"/>
        </w:rPr>
      </w:pPr>
      <w:r>
        <w:rPr>
          <w:rFonts w:ascii="David" w:hAnsi="David" w:cs="David"/>
          <w:sz w:val="24"/>
          <w:szCs w:val="24"/>
          <w:rtl/>
        </w:rPr>
        <w:t>המערער והמשיבות 4-2 (להלן: "</w:t>
      </w:r>
      <w:r>
        <w:rPr>
          <w:rFonts w:ascii="David" w:hAnsi="David" w:cs="David"/>
          <w:b/>
          <w:bCs/>
          <w:sz w:val="24"/>
          <w:szCs w:val="24"/>
          <w:rtl/>
        </w:rPr>
        <w:t>האחיות</w:t>
      </w:r>
      <w:r>
        <w:rPr>
          <w:rFonts w:ascii="David" w:hAnsi="David" w:cs="David"/>
          <w:sz w:val="24"/>
          <w:szCs w:val="24"/>
          <w:rtl/>
        </w:rPr>
        <w:t>") הם ילדיהם של המשיבה 1 (להלן: "</w:t>
      </w:r>
      <w:r>
        <w:rPr>
          <w:rFonts w:ascii="David" w:hAnsi="David" w:cs="David"/>
          <w:b/>
          <w:bCs/>
          <w:sz w:val="24"/>
          <w:szCs w:val="24"/>
          <w:rtl/>
        </w:rPr>
        <w:t>האם</w:t>
      </w:r>
      <w:r>
        <w:rPr>
          <w:rFonts w:ascii="David" w:hAnsi="David" w:cs="David"/>
          <w:sz w:val="24"/>
          <w:szCs w:val="24"/>
          <w:rtl/>
        </w:rPr>
        <w:t>") והמנוח י</w:t>
      </w:r>
      <w:r w:rsidR="00ED6EB2">
        <w:rPr>
          <w:rFonts w:ascii="David" w:hAnsi="David" w:cs="David" w:hint="cs"/>
          <w:sz w:val="24"/>
          <w:szCs w:val="24"/>
          <w:rtl/>
        </w:rPr>
        <w:t>'</w:t>
      </w:r>
      <w:r>
        <w:rPr>
          <w:rFonts w:ascii="David" w:hAnsi="David" w:cs="David"/>
          <w:sz w:val="24"/>
          <w:szCs w:val="24"/>
          <w:rtl/>
        </w:rPr>
        <w:t xml:space="preserve"> ב</w:t>
      </w:r>
      <w:r w:rsidR="00ED6EB2">
        <w:rPr>
          <w:rFonts w:ascii="David" w:hAnsi="David" w:cs="David" w:hint="cs"/>
          <w:sz w:val="24"/>
          <w:szCs w:val="24"/>
          <w:rtl/>
        </w:rPr>
        <w:t>'</w:t>
      </w:r>
      <w:r>
        <w:rPr>
          <w:rFonts w:ascii="David" w:hAnsi="David" w:cs="David"/>
          <w:sz w:val="24"/>
          <w:szCs w:val="24"/>
          <w:rtl/>
        </w:rPr>
        <w:t xml:space="preserve"> ז"ל (להלן: "</w:t>
      </w:r>
      <w:r>
        <w:rPr>
          <w:rFonts w:ascii="David" w:hAnsi="David" w:cs="David"/>
          <w:b/>
          <w:bCs/>
          <w:sz w:val="24"/>
          <w:szCs w:val="24"/>
          <w:rtl/>
        </w:rPr>
        <w:t>המנוח</w:t>
      </w:r>
      <w:r w:rsidR="00ED6EB2">
        <w:rPr>
          <w:rFonts w:ascii="David" w:hAnsi="David" w:cs="David"/>
          <w:sz w:val="24"/>
          <w:szCs w:val="24"/>
          <w:rtl/>
        </w:rPr>
        <w:t>") אשר הלך לעולמו ביו</w:t>
      </w:r>
      <w:r w:rsidR="00ED6EB2">
        <w:rPr>
          <w:rFonts w:ascii="David" w:hAnsi="David" w:cs="David" w:hint="cs"/>
          <w:sz w:val="24"/>
          <w:szCs w:val="24"/>
          <w:rtl/>
        </w:rPr>
        <w:t xml:space="preserve">ם </w:t>
      </w:r>
      <w:r w:rsidR="00ED6EB2">
        <w:rPr>
          <w:rFonts w:ascii="David" w:hAnsi="David" w:cs="David"/>
          <w:sz w:val="24"/>
          <w:szCs w:val="24"/>
        </w:rPr>
        <w:t xml:space="preserve"> xx.04.90</w:t>
      </w:r>
      <w:r w:rsidR="00ED6EB2">
        <w:rPr>
          <w:rFonts w:ascii="David" w:hAnsi="David" w:cs="David" w:hint="cs"/>
          <w:sz w:val="24"/>
          <w:szCs w:val="24"/>
          <w:rtl/>
        </w:rPr>
        <w:t>.</w:t>
      </w:r>
    </w:p>
    <w:p w:rsidR="00C33042" w:rsidRDefault="00C33042" w:rsidP="00C33042">
      <w:pPr>
        <w:pStyle w:val="ad"/>
        <w:numPr>
          <w:ilvl w:val="0"/>
          <w:numId w:val="1"/>
        </w:numPr>
        <w:spacing w:line="360" w:lineRule="auto"/>
        <w:ind w:left="368" w:hanging="284"/>
        <w:jc w:val="both"/>
        <w:rPr>
          <w:rFonts w:ascii="David" w:hAnsi="David" w:cs="David"/>
          <w:sz w:val="24"/>
          <w:szCs w:val="24"/>
        </w:rPr>
      </w:pPr>
      <w:r>
        <w:rPr>
          <w:rFonts w:ascii="David" w:hAnsi="David" w:cs="David"/>
          <w:sz w:val="24"/>
          <w:szCs w:val="24"/>
          <w:rtl/>
        </w:rPr>
        <w:t>האם והמנוח חתמו על צוואה ביום 13.10.88 (להלן: "</w:t>
      </w:r>
      <w:r>
        <w:rPr>
          <w:rFonts w:ascii="David" w:hAnsi="David" w:cs="David"/>
          <w:b/>
          <w:bCs/>
          <w:sz w:val="24"/>
          <w:szCs w:val="24"/>
          <w:rtl/>
        </w:rPr>
        <w:t>הצוואה המשותפת</w:t>
      </w:r>
      <w:r>
        <w:rPr>
          <w:rFonts w:ascii="David" w:hAnsi="David" w:cs="David"/>
          <w:sz w:val="24"/>
          <w:szCs w:val="24"/>
          <w:rtl/>
        </w:rPr>
        <w:t>") לפיה, בין היתר:</w:t>
      </w:r>
    </w:p>
    <w:p w:rsidR="00C33042" w:rsidRDefault="00C33042" w:rsidP="00ED6EB2">
      <w:pPr>
        <w:pStyle w:val="ad"/>
        <w:spacing w:line="240" w:lineRule="auto"/>
        <w:ind w:left="1360" w:right="851" w:hanging="284"/>
        <w:jc w:val="both"/>
        <w:rPr>
          <w:rFonts w:ascii="David" w:hAnsi="David" w:cs="David"/>
          <w:sz w:val="24"/>
          <w:szCs w:val="24"/>
        </w:rPr>
      </w:pPr>
      <w:r>
        <w:rPr>
          <w:rFonts w:ascii="David" w:hAnsi="David" w:cs="David"/>
          <w:sz w:val="24"/>
          <w:szCs w:val="24"/>
          <w:rtl/>
        </w:rPr>
        <w:t xml:space="preserve">"1) הננו הבעלים של דירה ברח' </w:t>
      </w:r>
      <w:r w:rsidR="00ED6EB2">
        <w:rPr>
          <w:rFonts w:ascii="David" w:hAnsi="David" w:cs="David" w:hint="cs"/>
          <w:sz w:val="24"/>
          <w:szCs w:val="24"/>
        </w:rPr>
        <w:t>XX</w:t>
      </w:r>
      <w:r>
        <w:rPr>
          <w:rFonts w:ascii="David" w:hAnsi="David" w:cs="David"/>
          <w:sz w:val="24"/>
          <w:szCs w:val="24"/>
          <w:rtl/>
        </w:rPr>
        <w:t xml:space="preserve"> בה אנו מתגוררים והרשומה במשרד ספרי האחוזה על שם שנינו בחלקים שווים.</w:t>
      </w:r>
    </w:p>
    <w:p w:rsidR="00C33042" w:rsidRDefault="00C33042" w:rsidP="00C33042">
      <w:pPr>
        <w:pStyle w:val="ad"/>
        <w:spacing w:line="240" w:lineRule="auto"/>
        <w:ind w:left="1076" w:right="851"/>
        <w:jc w:val="both"/>
        <w:rPr>
          <w:rFonts w:ascii="David" w:hAnsi="David" w:cs="David"/>
          <w:sz w:val="24"/>
          <w:szCs w:val="24"/>
        </w:rPr>
      </w:pPr>
      <w:r>
        <w:rPr>
          <w:rFonts w:ascii="David" w:hAnsi="David" w:cs="David"/>
          <w:sz w:val="24"/>
          <w:szCs w:val="24"/>
          <w:rtl/>
        </w:rPr>
        <w:t>2) ...</w:t>
      </w:r>
    </w:p>
    <w:p w:rsidR="00C33042" w:rsidRDefault="00C33042" w:rsidP="00ED6EB2">
      <w:pPr>
        <w:pStyle w:val="ad"/>
        <w:spacing w:line="240" w:lineRule="auto"/>
        <w:ind w:left="1502" w:right="851" w:hanging="142"/>
        <w:jc w:val="both"/>
        <w:rPr>
          <w:rFonts w:ascii="David" w:hAnsi="David" w:cs="David"/>
          <w:sz w:val="24"/>
          <w:szCs w:val="24"/>
          <w:rtl/>
        </w:rPr>
      </w:pPr>
      <w:r>
        <w:rPr>
          <w:rFonts w:ascii="David" w:hAnsi="David" w:cs="David"/>
          <w:sz w:val="24"/>
          <w:szCs w:val="24"/>
          <w:rtl/>
        </w:rPr>
        <w:t xml:space="preserve">א. </w:t>
      </w:r>
      <w:r>
        <w:rPr>
          <w:rFonts w:ascii="David" w:hAnsi="David" w:cs="David"/>
          <w:b/>
          <w:bCs/>
          <w:sz w:val="24"/>
          <w:szCs w:val="24"/>
          <w:rtl/>
        </w:rPr>
        <w:t xml:space="preserve">אחרי מותו של </w:t>
      </w:r>
      <w:r w:rsidR="00ED6EB2">
        <w:rPr>
          <w:rFonts w:ascii="David" w:hAnsi="David" w:cs="David" w:hint="cs"/>
          <w:b/>
          <w:bCs/>
          <w:sz w:val="24"/>
          <w:szCs w:val="24"/>
          <w:rtl/>
        </w:rPr>
        <w:t>ב' י'</w:t>
      </w:r>
      <w:r>
        <w:rPr>
          <w:rFonts w:ascii="David" w:hAnsi="David" w:cs="David"/>
          <w:b/>
          <w:bCs/>
          <w:sz w:val="24"/>
          <w:szCs w:val="24"/>
          <w:rtl/>
        </w:rPr>
        <w:t xml:space="preserve"> אשתו </w:t>
      </w:r>
      <w:r w:rsidR="00ED6EB2">
        <w:rPr>
          <w:rFonts w:ascii="David" w:hAnsi="David" w:cs="David" w:hint="cs"/>
          <w:b/>
          <w:bCs/>
          <w:sz w:val="24"/>
          <w:szCs w:val="24"/>
          <w:rtl/>
        </w:rPr>
        <w:t>ב' צ'</w:t>
      </w:r>
      <w:r>
        <w:rPr>
          <w:rFonts w:ascii="David" w:hAnsi="David" w:cs="David"/>
          <w:b/>
          <w:bCs/>
          <w:sz w:val="24"/>
          <w:szCs w:val="24"/>
          <w:rtl/>
        </w:rPr>
        <w:t xml:space="preserve"> </w:t>
      </w:r>
      <w:r>
        <w:rPr>
          <w:rFonts w:ascii="David" w:hAnsi="David" w:cs="David"/>
          <w:sz w:val="24"/>
          <w:szCs w:val="24"/>
          <w:rtl/>
        </w:rPr>
        <w:t>(האם, ע"א)</w:t>
      </w:r>
      <w:r>
        <w:rPr>
          <w:rFonts w:ascii="David" w:hAnsi="David" w:cs="David"/>
          <w:b/>
          <w:bCs/>
          <w:sz w:val="24"/>
          <w:szCs w:val="24"/>
          <w:rtl/>
        </w:rPr>
        <w:t xml:space="preserve"> תקבל הנ"ל בשלמותו.</w:t>
      </w:r>
    </w:p>
    <w:p w:rsidR="00C33042" w:rsidRDefault="00C33042" w:rsidP="00ED6EB2">
      <w:pPr>
        <w:pStyle w:val="ad"/>
        <w:spacing w:line="240" w:lineRule="auto"/>
        <w:ind w:left="1502" w:right="851" w:hanging="142"/>
        <w:jc w:val="both"/>
        <w:rPr>
          <w:rFonts w:ascii="David" w:hAnsi="David" w:cs="David"/>
          <w:sz w:val="24"/>
          <w:szCs w:val="24"/>
          <w:rtl/>
        </w:rPr>
      </w:pPr>
      <w:r>
        <w:rPr>
          <w:rFonts w:ascii="David" w:hAnsi="David" w:cs="David"/>
          <w:sz w:val="24"/>
          <w:szCs w:val="24"/>
          <w:rtl/>
        </w:rPr>
        <w:t xml:space="preserve">ב. אחרי מותה של </w:t>
      </w:r>
      <w:r w:rsidR="00ED6EB2">
        <w:rPr>
          <w:rFonts w:ascii="David" w:hAnsi="David" w:cs="David" w:hint="cs"/>
          <w:sz w:val="24"/>
          <w:szCs w:val="24"/>
          <w:rtl/>
        </w:rPr>
        <w:t>ב' צ'</w:t>
      </w:r>
      <w:r>
        <w:rPr>
          <w:rFonts w:ascii="David" w:hAnsi="David" w:cs="David"/>
          <w:sz w:val="24"/>
          <w:szCs w:val="24"/>
          <w:rtl/>
        </w:rPr>
        <w:t xml:space="preserve"> יקבל בעלה </w:t>
      </w:r>
      <w:r w:rsidR="00ED6EB2">
        <w:rPr>
          <w:rFonts w:ascii="David" w:hAnsi="David" w:cs="David" w:hint="cs"/>
          <w:sz w:val="24"/>
          <w:szCs w:val="24"/>
          <w:rtl/>
        </w:rPr>
        <w:t>ב' י'</w:t>
      </w:r>
      <w:r>
        <w:rPr>
          <w:rFonts w:ascii="David" w:hAnsi="David" w:cs="David"/>
          <w:sz w:val="24"/>
          <w:szCs w:val="24"/>
          <w:rtl/>
        </w:rPr>
        <w:t xml:space="preserve"> הנ"ל בשלמותו.</w:t>
      </w:r>
    </w:p>
    <w:p w:rsidR="00C33042" w:rsidRDefault="00C33042" w:rsidP="00C33042">
      <w:pPr>
        <w:pStyle w:val="ad"/>
        <w:spacing w:line="240" w:lineRule="auto"/>
        <w:ind w:left="1502" w:right="851" w:hanging="142"/>
        <w:jc w:val="both"/>
        <w:rPr>
          <w:rFonts w:ascii="David" w:hAnsi="David" w:cs="David"/>
          <w:sz w:val="24"/>
          <w:szCs w:val="24"/>
          <w:rtl/>
        </w:rPr>
      </w:pPr>
      <w:r>
        <w:rPr>
          <w:rFonts w:ascii="David" w:hAnsi="David" w:cs="David"/>
          <w:sz w:val="24"/>
          <w:szCs w:val="24"/>
          <w:rtl/>
        </w:rPr>
        <w:t xml:space="preserve">ג. באם חס ושלום </w:t>
      </w:r>
      <w:r>
        <w:rPr>
          <w:rFonts w:ascii="David" w:hAnsi="David" w:cs="David"/>
          <w:b/>
          <w:bCs/>
          <w:sz w:val="24"/>
          <w:szCs w:val="24"/>
          <w:rtl/>
        </w:rPr>
        <w:t>נמות שנינו יחד</w:t>
      </w:r>
      <w:r>
        <w:rPr>
          <w:rFonts w:ascii="David" w:hAnsi="David" w:cs="David"/>
          <w:sz w:val="24"/>
          <w:szCs w:val="24"/>
          <w:rtl/>
        </w:rPr>
        <w:t xml:space="preserve"> </w:t>
      </w:r>
      <w:r>
        <w:rPr>
          <w:rFonts w:ascii="David" w:hAnsi="David" w:cs="David"/>
          <w:b/>
          <w:bCs/>
          <w:sz w:val="24"/>
          <w:szCs w:val="24"/>
          <w:rtl/>
        </w:rPr>
        <w:t>באותו זמן ו/או בזמנים שונים</w:t>
      </w:r>
      <w:r>
        <w:rPr>
          <w:rFonts w:ascii="David" w:hAnsi="David" w:cs="David"/>
          <w:sz w:val="24"/>
          <w:szCs w:val="24"/>
          <w:rtl/>
        </w:rPr>
        <w:t xml:space="preserve"> ואף אחד מאתנו לא ישאר בחיים יתחלק רכושנו באופן הבא:</w:t>
      </w:r>
    </w:p>
    <w:p w:rsidR="00C33042" w:rsidRDefault="00C33042" w:rsidP="00C33042">
      <w:pPr>
        <w:pStyle w:val="ad"/>
        <w:spacing w:line="240" w:lineRule="auto"/>
        <w:ind w:left="1502" w:right="851" w:hanging="142"/>
        <w:jc w:val="both"/>
        <w:rPr>
          <w:rFonts w:ascii="David" w:hAnsi="David" w:cs="David"/>
          <w:sz w:val="24"/>
          <w:szCs w:val="24"/>
          <w:rtl/>
        </w:rPr>
      </w:pPr>
    </w:p>
    <w:p w:rsidR="00C33042" w:rsidRDefault="00C33042" w:rsidP="00ED6EB2">
      <w:pPr>
        <w:pStyle w:val="ad"/>
        <w:spacing w:line="240" w:lineRule="auto"/>
        <w:ind w:left="1785" w:right="851" w:hanging="283"/>
        <w:jc w:val="both"/>
        <w:rPr>
          <w:rFonts w:ascii="David" w:hAnsi="David" w:cs="David"/>
          <w:sz w:val="24"/>
          <w:szCs w:val="24"/>
          <w:rtl/>
        </w:rPr>
      </w:pPr>
      <w:r>
        <w:rPr>
          <w:rFonts w:ascii="David" w:hAnsi="David" w:cs="David"/>
          <w:sz w:val="24"/>
          <w:szCs w:val="24"/>
          <w:rtl/>
        </w:rPr>
        <w:t xml:space="preserve">1.  </w:t>
      </w:r>
      <w:r>
        <w:rPr>
          <w:rFonts w:ascii="David" w:hAnsi="David" w:cs="David"/>
          <w:b/>
          <w:bCs/>
          <w:sz w:val="24"/>
          <w:szCs w:val="24"/>
          <w:rtl/>
        </w:rPr>
        <w:t xml:space="preserve">הדירה ברח' </w:t>
      </w:r>
      <w:r w:rsidR="00ED6EB2">
        <w:rPr>
          <w:rFonts w:ascii="David" w:hAnsi="David" w:cs="David" w:hint="cs"/>
          <w:b/>
          <w:bCs/>
          <w:sz w:val="24"/>
          <w:szCs w:val="24"/>
        </w:rPr>
        <w:t>XX</w:t>
      </w:r>
      <w:r>
        <w:rPr>
          <w:rFonts w:ascii="David" w:hAnsi="David" w:cs="David"/>
          <w:b/>
          <w:bCs/>
          <w:sz w:val="24"/>
          <w:szCs w:val="24"/>
          <w:rtl/>
        </w:rPr>
        <w:t xml:space="preserve"> ב</w:t>
      </w:r>
      <w:r w:rsidR="00ED6EB2">
        <w:rPr>
          <w:rFonts w:ascii="David" w:hAnsi="David" w:cs="David" w:hint="cs"/>
          <w:b/>
          <w:bCs/>
          <w:sz w:val="24"/>
          <w:szCs w:val="24"/>
        </w:rPr>
        <w:t>XX</w:t>
      </w:r>
      <w:r>
        <w:rPr>
          <w:rFonts w:ascii="David" w:hAnsi="David" w:cs="David"/>
          <w:b/>
          <w:bCs/>
          <w:sz w:val="24"/>
          <w:szCs w:val="24"/>
          <w:rtl/>
        </w:rPr>
        <w:t xml:space="preserve"> תמכר והתמורה תחולק בחלקים שווים</w:t>
      </w:r>
      <w:r>
        <w:rPr>
          <w:rFonts w:ascii="David" w:hAnsi="David" w:cs="David"/>
          <w:sz w:val="24"/>
          <w:szCs w:val="24"/>
          <w:rtl/>
        </w:rPr>
        <w:t xml:space="preserve"> בין:</w:t>
      </w:r>
    </w:p>
    <w:p w:rsidR="00C33042" w:rsidRDefault="00ED6EB2" w:rsidP="00C33042">
      <w:pPr>
        <w:pStyle w:val="ad"/>
        <w:spacing w:line="240" w:lineRule="auto"/>
        <w:ind w:left="1785" w:right="851"/>
        <w:jc w:val="both"/>
        <w:rPr>
          <w:rFonts w:ascii="David" w:hAnsi="David" w:cs="David"/>
          <w:sz w:val="24"/>
          <w:szCs w:val="24"/>
          <w:rtl/>
        </w:rPr>
      </w:pPr>
      <w:r>
        <w:rPr>
          <w:rFonts w:ascii="David" w:hAnsi="David" w:cs="David" w:hint="cs"/>
          <w:sz w:val="24"/>
          <w:szCs w:val="24"/>
          <w:rtl/>
        </w:rPr>
        <w:t>כ' ג'</w:t>
      </w:r>
      <w:r w:rsidR="006B419E">
        <w:rPr>
          <w:rFonts w:ascii="David" w:hAnsi="David" w:cs="David"/>
          <w:sz w:val="24"/>
          <w:szCs w:val="24"/>
          <w:rtl/>
        </w:rPr>
        <w:t xml:space="preserve"> (המשיבה 2</w:t>
      </w:r>
      <w:r w:rsidR="00C33042">
        <w:rPr>
          <w:rFonts w:ascii="David" w:hAnsi="David" w:cs="David"/>
          <w:sz w:val="24"/>
          <w:szCs w:val="24"/>
          <w:rtl/>
        </w:rPr>
        <w:t>) ...</w:t>
      </w:r>
    </w:p>
    <w:p w:rsidR="00C33042" w:rsidRDefault="00ED6EB2" w:rsidP="00C33042">
      <w:pPr>
        <w:pStyle w:val="ad"/>
        <w:spacing w:line="240" w:lineRule="auto"/>
        <w:ind w:left="1785" w:right="851"/>
        <w:jc w:val="both"/>
        <w:rPr>
          <w:rFonts w:ascii="David" w:hAnsi="David" w:cs="David"/>
          <w:sz w:val="24"/>
          <w:szCs w:val="24"/>
          <w:rtl/>
        </w:rPr>
      </w:pPr>
      <w:r>
        <w:rPr>
          <w:rFonts w:ascii="David" w:hAnsi="David" w:cs="David" w:hint="cs"/>
          <w:sz w:val="24"/>
          <w:szCs w:val="24"/>
          <w:rtl/>
        </w:rPr>
        <w:t>ר' ס'</w:t>
      </w:r>
      <w:r w:rsidR="006B419E">
        <w:rPr>
          <w:rFonts w:ascii="David" w:hAnsi="David" w:cs="David"/>
          <w:sz w:val="24"/>
          <w:szCs w:val="24"/>
          <w:rtl/>
        </w:rPr>
        <w:t xml:space="preserve"> (המשיבה 3</w:t>
      </w:r>
      <w:r w:rsidR="00C33042">
        <w:rPr>
          <w:rFonts w:ascii="David" w:hAnsi="David" w:cs="David"/>
          <w:sz w:val="24"/>
          <w:szCs w:val="24"/>
          <w:rtl/>
        </w:rPr>
        <w:t>) ...</w:t>
      </w:r>
    </w:p>
    <w:p w:rsidR="00C33042" w:rsidRDefault="00ED6EB2" w:rsidP="00C33042">
      <w:pPr>
        <w:pStyle w:val="ad"/>
        <w:spacing w:line="240" w:lineRule="auto"/>
        <w:ind w:left="1785" w:right="851"/>
        <w:jc w:val="both"/>
        <w:rPr>
          <w:rFonts w:ascii="David" w:hAnsi="David" w:cs="David"/>
          <w:sz w:val="24"/>
          <w:szCs w:val="24"/>
          <w:rtl/>
        </w:rPr>
      </w:pPr>
      <w:r>
        <w:rPr>
          <w:rFonts w:ascii="David" w:hAnsi="David" w:cs="David" w:hint="cs"/>
          <w:sz w:val="24"/>
          <w:szCs w:val="24"/>
          <w:rtl/>
        </w:rPr>
        <w:t>כ' ב'</w:t>
      </w:r>
      <w:r w:rsidR="006B419E">
        <w:rPr>
          <w:rFonts w:ascii="David" w:hAnsi="David" w:cs="David"/>
          <w:sz w:val="24"/>
          <w:szCs w:val="24"/>
          <w:rtl/>
        </w:rPr>
        <w:t xml:space="preserve"> (המערער</w:t>
      </w:r>
      <w:r w:rsidR="00C33042">
        <w:rPr>
          <w:rFonts w:ascii="David" w:hAnsi="David" w:cs="David"/>
          <w:sz w:val="24"/>
          <w:szCs w:val="24"/>
          <w:rtl/>
        </w:rPr>
        <w:t>) ...</w:t>
      </w:r>
    </w:p>
    <w:p w:rsidR="00C33042" w:rsidRDefault="00ED6EB2" w:rsidP="00C33042">
      <w:pPr>
        <w:pStyle w:val="ad"/>
        <w:spacing w:line="240" w:lineRule="auto"/>
        <w:ind w:left="1785" w:right="851"/>
        <w:jc w:val="both"/>
        <w:rPr>
          <w:rFonts w:ascii="David" w:hAnsi="David" w:cs="David"/>
          <w:sz w:val="24"/>
          <w:szCs w:val="24"/>
          <w:rtl/>
        </w:rPr>
      </w:pPr>
      <w:r>
        <w:rPr>
          <w:rFonts w:ascii="David" w:hAnsi="David" w:cs="David" w:hint="cs"/>
          <w:sz w:val="24"/>
          <w:szCs w:val="24"/>
          <w:rtl/>
        </w:rPr>
        <w:t>מ' ב'</w:t>
      </w:r>
      <w:r w:rsidR="006B419E">
        <w:rPr>
          <w:rFonts w:ascii="David" w:hAnsi="David" w:cs="David"/>
          <w:sz w:val="24"/>
          <w:szCs w:val="24"/>
          <w:rtl/>
        </w:rPr>
        <w:t xml:space="preserve"> (המשיבה 4</w:t>
      </w:r>
      <w:r w:rsidR="00C33042">
        <w:rPr>
          <w:rFonts w:ascii="David" w:hAnsi="David" w:cs="David"/>
          <w:sz w:val="24"/>
          <w:szCs w:val="24"/>
          <w:rtl/>
        </w:rPr>
        <w:t>) ...</w:t>
      </w:r>
    </w:p>
    <w:p w:rsidR="00C33042" w:rsidRDefault="00ED6EB2" w:rsidP="006B419E">
      <w:pPr>
        <w:pStyle w:val="ad"/>
        <w:spacing w:line="240" w:lineRule="auto"/>
        <w:ind w:left="1785" w:right="851"/>
        <w:jc w:val="both"/>
        <w:rPr>
          <w:rFonts w:ascii="David" w:hAnsi="David" w:cs="David"/>
          <w:sz w:val="24"/>
          <w:szCs w:val="24"/>
          <w:rtl/>
        </w:rPr>
      </w:pPr>
      <w:r>
        <w:rPr>
          <w:rFonts w:ascii="David" w:hAnsi="David" w:cs="David" w:hint="cs"/>
          <w:sz w:val="24"/>
          <w:szCs w:val="24"/>
          <w:rtl/>
        </w:rPr>
        <w:t>צ' ג'</w:t>
      </w:r>
      <w:r w:rsidR="006B419E">
        <w:rPr>
          <w:rFonts w:ascii="David" w:hAnsi="David" w:cs="David"/>
          <w:sz w:val="24"/>
          <w:szCs w:val="24"/>
          <w:rtl/>
        </w:rPr>
        <w:t xml:space="preserve"> (הנכדה</w:t>
      </w:r>
      <w:r w:rsidR="006B419E">
        <w:rPr>
          <w:rFonts w:ascii="David" w:hAnsi="David" w:cs="David" w:hint="cs"/>
          <w:sz w:val="24"/>
          <w:szCs w:val="24"/>
          <w:rtl/>
        </w:rPr>
        <w:t>)</w:t>
      </w:r>
      <w:r w:rsidR="00C33042">
        <w:rPr>
          <w:rFonts w:ascii="David" w:hAnsi="David" w:cs="David"/>
          <w:sz w:val="24"/>
          <w:szCs w:val="24"/>
          <w:rtl/>
        </w:rPr>
        <w:t>...</w:t>
      </w:r>
    </w:p>
    <w:p w:rsidR="00C33042" w:rsidRDefault="00C33042" w:rsidP="00C33042">
      <w:pPr>
        <w:pStyle w:val="ad"/>
        <w:spacing w:line="240" w:lineRule="auto"/>
        <w:ind w:left="1785" w:right="851"/>
        <w:jc w:val="both"/>
        <w:rPr>
          <w:rFonts w:ascii="David" w:hAnsi="David" w:cs="David"/>
          <w:sz w:val="24"/>
          <w:szCs w:val="24"/>
          <w:rtl/>
        </w:rPr>
      </w:pPr>
    </w:p>
    <w:p w:rsidR="00C33042" w:rsidRDefault="00C33042" w:rsidP="00C33042">
      <w:pPr>
        <w:pStyle w:val="ad"/>
        <w:spacing w:line="240" w:lineRule="auto"/>
        <w:ind w:left="1785" w:right="851"/>
        <w:jc w:val="both"/>
        <w:rPr>
          <w:rFonts w:ascii="David" w:hAnsi="David" w:cs="David"/>
          <w:sz w:val="24"/>
          <w:szCs w:val="24"/>
          <w:rtl/>
        </w:rPr>
      </w:pPr>
      <w:r>
        <w:rPr>
          <w:rFonts w:ascii="David" w:hAnsi="David" w:cs="David"/>
          <w:sz w:val="24"/>
          <w:szCs w:val="24"/>
          <w:rtl/>
        </w:rPr>
        <w:t>יצוין ... כי באם אחרי מותנו ... ימצא ילד אשר נפטר לפנינו חס ושלום והשאיר ילדים (כולל בנות) יירשו ילדיהם את חלקי הנפטר בחלקים שווים ביניהם.</w:t>
      </w:r>
    </w:p>
    <w:p w:rsidR="00C33042" w:rsidRDefault="00C33042" w:rsidP="00C33042">
      <w:pPr>
        <w:pStyle w:val="ad"/>
        <w:spacing w:line="240" w:lineRule="auto"/>
        <w:ind w:left="1785" w:right="851"/>
        <w:jc w:val="both"/>
        <w:rPr>
          <w:rFonts w:ascii="David" w:hAnsi="David" w:cs="David"/>
          <w:sz w:val="24"/>
          <w:szCs w:val="24"/>
          <w:rtl/>
        </w:rPr>
      </w:pPr>
    </w:p>
    <w:p w:rsidR="00C33042" w:rsidRDefault="00C33042" w:rsidP="008566CA">
      <w:pPr>
        <w:pStyle w:val="ad"/>
        <w:spacing w:line="240" w:lineRule="auto"/>
        <w:ind w:left="1785" w:right="851" w:hanging="283"/>
        <w:jc w:val="both"/>
        <w:rPr>
          <w:rFonts w:ascii="David" w:hAnsi="David" w:cs="David"/>
          <w:sz w:val="24"/>
          <w:szCs w:val="24"/>
          <w:rtl/>
        </w:rPr>
      </w:pPr>
      <w:r>
        <w:rPr>
          <w:rFonts w:ascii="David" w:hAnsi="David" w:cs="David"/>
          <w:sz w:val="24"/>
          <w:szCs w:val="24"/>
          <w:rtl/>
        </w:rPr>
        <w:lastRenderedPageBreak/>
        <w:t xml:space="preserve">2.  הדירה ברח' </w:t>
      </w:r>
      <w:r w:rsidR="008566CA">
        <w:rPr>
          <w:rFonts w:ascii="David" w:hAnsi="David" w:cs="David" w:hint="cs"/>
          <w:sz w:val="24"/>
          <w:szCs w:val="24"/>
        </w:rPr>
        <w:t>XX</w:t>
      </w:r>
      <w:r>
        <w:rPr>
          <w:rFonts w:ascii="David" w:hAnsi="David" w:cs="David"/>
          <w:sz w:val="24"/>
          <w:szCs w:val="24"/>
          <w:rtl/>
        </w:rPr>
        <w:t xml:space="preserve"> </w:t>
      </w:r>
      <w:r w:rsidR="008566CA">
        <w:rPr>
          <w:rFonts w:ascii="David" w:hAnsi="David" w:cs="David" w:hint="cs"/>
          <w:sz w:val="24"/>
          <w:szCs w:val="24"/>
          <w:rtl/>
        </w:rPr>
        <w:t>ב</w:t>
      </w:r>
      <w:r w:rsidR="008566CA">
        <w:rPr>
          <w:rFonts w:ascii="David" w:hAnsi="David" w:cs="David" w:hint="cs"/>
          <w:sz w:val="24"/>
          <w:szCs w:val="24"/>
        </w:rPr>
        <w:t>XX</w:t>
      </w:r>
      <w:r>
        <w:rPr>
          <w:rFonts w:ascii="David" w:hAnsi="David" w:cs="David"/>
          <w:sz w:val="24"/>
          <w:szCs w:val="24"/>
          <w:rtl/>
        </w:rPr>
        <w:t xml:space="preserve"> ... תרשם ע"ש </w:t>
      </w:r>
      <w:r w:rsidR="008566CA">
        <w:rPr>
          <w:rFonts w:ascii="David" w:hAnsi="David" w:cs="David" w:hint="cs"/>
          <w:sz w:val="24"/>
          <w:szCs w:val="24"/>
          <w:rtl/>
        </w:rPr>
        <w:t>מ' ב'</w:t>
      </w:r>
      <w:r>
        <w:rPr>
          <w:rFonts w:ascii="David" w:hAnsi="David" w:cs="David"/>
          <w:sz w:val="24"/>
          <w:szCs w:val="24"/>
          <w:rtl/>
        </w:rPr>
        <w:t xml:space="preserve"> ... ובמידה והדירה רשומה כבר על שמה לא ת</w:t>
      </w:r>
      <w:r w:rsidR="008566CA">
        <w:rPr>
          <w:rFonts w:ascii="David" w:hAnsi="David" w:cs="David"/>
          <w:sz w:val="24"/>
          <w:szCs w:val="24"/>
          <w:rtl/>
        </w:rPr>
        <w:t>צטרך מ</w:t>
      </w:r>
      <w:r w:rsidR="008566CA">
        <w:rPr>
          <w:rFonts w:ascii="David" w:hAnsi="David" w:cs="David" w:hint="cs"/>
          <w:sz w:val="24"/>
          <w:szCs w:val="24"/>
          <w:rtl/>
        </w:rPr>
        <w:t>'</w:t>
      </w:r>
      <w:r>
        <w:rPr>
          <w:rFonts w:ascii="David" w:hAnsi="David" w:cs="David"/>
          <w:sz w:val="24"/>
          <w:szCs w:val="24"/>
          <w:rtl/>
        </w:rPr>
        <w:t xml:space="preserve"> להחזיר אגורה אחת ...</w:t>
      </w:r>
    </w:p>
    <w:p w:rsidR="00C33042" w:rsidRDefault="00C33042" w:rsidP="00C33042">
      <w:pPr>
        <w:pStyle w:val="ad"/>
        <w:spacing w:line="240" w:lineRule="auto"/>
        <w:ind w:left="1785" w:right="851" w:hanging="283"/>
        <w:jc w:val="both"/>
        <w:rPr>
          <w:rFonts w:ascii="David" w:hAnsi="David" w:cs="David"/>
          <w:sz w:val="24"/>
          <w:szCs w:val="24"/>
          <w:rtl/>
        </w:rPr>
      </w:pPr>
    </w:p>
    <w:p w:rsidR="00C33042" w:rsidRDefault="00C33042" w:rsidP="008566CA">
      <w:pPr>
        <w:pStyle w:val="ad"/>
        <w:spacing w:line="240" w:lineRule="auto"/>
        <w:ind w:left="1502" w:right="851"/>
        <w:jc w:val="both"/>
        <w:rPr>
          <w:rFonts w:ascii="David" w:hAnsi="David" w:cs="David"/>
          <w:sz w:val="24"/>
          <w:szCs w:val="24"/>
          <w:rtl/>
        </w:rPr>
      </w:pPr>
      <w:r>
        <w:rPr>
          <w:rFonts w:ascii="David" w:hAnsi="David" w:cs="David"/>
          <w:sz w:val="24"/>
          <w:szCs w:val="24"/>
          <w:rtl/>
        </w:rPr>
        <w:t xml:space="preserve">3.  מבנה התעשיה ברח' </w:t>
      </w:r>
      <w:r w:rsidR="008566CA">
        <w:rPr>
          <w:rFonts w:ascii="David" w:hAnsi="David" w:cs="David" w:hint="cs"/>
          <w:sz w:val="24"/>
          <w:szCs w:val="24"/>
        </w:rPr>
        <w:t>XX</w:t>
      </w:r>
      <w:r>
        <w:rPr>
          <w:rFonts w:ascii="David" w:hAnsi="David" w:cs="David"/>
          <w:sz w:val="24"/>
          <w:szCs w:val="24"/>
          <w:rtl/>
        </w:rPr>
        <w:t xml:space="preserve"> ב</w:t>
      </w:r>
      <w:r w:rsidR="008566CA">
        <w:rPr>
          <w:rFonts w:ascii="David" w:hAnsi="David" w:cs="David" w:hint="cs"/>
          <w:sz w:val="24"/>
          <w:szCs w:val="24"/>
        </w:rPr>
        <w:t>XX</w:t>
      </w:r>
      <w:r>
        <w:rPr>
          <w:rFonts w:ascii="David" w:hAnsi="David" w:cs="David"/>
          <w:sz w:val="24"/>
          <w:szCs w:val="24"/>
          <w:rtl/>
        </w:rPr>
        <w:t xml:space="preserve"> ... יקבל </w:t>
      </w:r>
      <w:r w:rsidR="008566CA">
        <w:rPr>
          <w:rFonts w:ascii="David" w:hAnsi="David" w:cs="David" w:hint="cs"/>
          <w:sz w:val="24"/>
          <w:szCs w:val="24"/>
          <w:rtl/>
        </w:rPr>
        <w:t>ב' כ' ב'</w:t>
      </w:r>
      <w:r w:rsidR="006B419E">
        <w:rPr>
          <w:rFonts w:ascii="David" w:hAnsi="David" w:cs="David"/>
          <w:sz w:val="24"/>
          <w:szCs w:val="24"/>
          <w:rtl/>
        </w:rPr>
        <w:t>...". (ההדגשות אינן במקור</w:t>
      </w:r>
      <w:r>
        <w:rPr>
          <w:rFonts w:ascii="David" w:hAnsi="David" w:cs="David"/>
          <w:sz w:val="24"/>
          <w:szCs w:val="24"/>
          <w:rtl/>
        </w:rPr>
        <w:t xml:space="preserve">) </w:t>
      </w:r>
    </w:p>
    <w:p w:rsidR="00C33042" w:rsidRDefault="00C33042" w:rsidP="00C33042">
      <w:pPr>
        <w:pStyle w:val="ad"/>
        <w:spacing w:line="360" w:lineRule="auto"/>
        <w:ind w:left="368"/>
        <w:jc w:val="both"/>
        <w:rPr>
          <w:rFonts w:ascii="David" w:hAnsi="David" w:cs="David"/>
          <w:sz w:val="24"/>
          <w:szCs w:val="24"/>
          <w:rtl/>
        </w:rPr>
      </w:pPr>
    </w:p>
    <w:p w:rsidR="00C33042" w:rsidRDefault="00C33042" w:rsidP="00C33042">
      <w:pPr>
        <w:pStyle w:val="ad"/>
        <w:spacing w:line="360" w:lineRule="auto"/>
        <w:ind w:left="368"/>
        <w:jc w:val="both"/>
        <w:rPr>
          <w:rFonts w:ascii="David" w:hAnsi="David" w:cs="David"/>
          <w:sz w:val="24"/>
          <w:szCs w:val="24"/>
          <w:rtl/>
        </w:rPr>
      </w:pPr>
      <w:r>
        <w:rPr>
          <w:rFonts w:ascii="David" w:hAnsi="David" w:cs="David"/>
          <w:sz w:val="24"/>
          <w:szCs w:val="24"/>
          <w:rtl/>
        </w:rPr>
        <w:t>עוד נקבע בסעיף 5 לצוואה ההדדית כי "צוואתנו הנוכחית הינה הצוואה האחרונה ו</w:t>
      </w:r>
      <w:r>
        <w:rPr>
          <w:rFonts w:ascii="David" w:hAnsi="David" w:cs="David"/>
          <w:b/>
          <w:bCs/>
          <w:sz w:val="24"/>
          <w:szCs w:val="24"/>
          <w:rtl/>
        </w:rPr>
        <w:t xml:space="preserve">בלתי חוזרת </w:t>
      </w:r>
      <w:r>
        <w:rPr>
          <w:rFonts w:ascii="David" w:hAnsi="David" w:cs="David"/>
          <w:sz w:val="24"/>
          <w:szCs w:val="24"/>
          <w:rtl/>
        </w:rPr>
        <w:t>וכל צוואה אחרת שלנו הקודמת לה, באם קיימת מבוטלת בזה".</w:t>
      </w:r>
    </w:p>
    <w:p w:rsidR="00C33042" w:rsidRDefault="00C33042" w:rsidP="00C33042">
      <w:pPr>
        <w:pStyle w:val="ad"/>
        <w:numPr>
          <w:ilvl w:val="0"/>
          <w:numId w:val="1"/>
        </w:numPr>
        <w:spacing w:line="360" w:lineRule="auto"/>
        <w:ind w:left="368" w:hanging="284"/>
        <w:jc w:val="both"/>
        <w:rPr>
          <w:rFonts w:ascii="David" w:hAnsi="David" w:cs="David"/>
          <w:sz w:val="24"/>
          <w:szCs w:val="24"/>
          <w:rtl/>
        </w:rPr>
      </w:pPr>
      <w:r>
        <w:rPr>
          <w:rFonts w:ascii="David" w:hAnsi="David" w:cs="David"/>
          <w:sz w:val="24"/>
          <w:szCs w:val="24"/>
          <w:rtl/>
        </w:rPr>
        <w:t xml:space="preserve"> ביום 9.2.14 ניתן צו קיום צוואה אחר המנוח, לצוואה המשותפת, וביום 7.3.14 חתמה האם על בקשה לרישום הצו.</w:t>
      </w:r>
    </w:p>
    <w:p w:rsidR="00C33042" w:rsidRDefault="00C33042" w:rsidP="008566CA">
      <w:pPr>
        <w:pStyle w:val="ad"/>
        <w:numPr>
          <w:ilvl w:val="0"/>
          <w:numId w:val="1"/>
        </w:numPr>
        <w:spacing w:line="360" w:lineRule="auto"/>
        <w:ind w:left="368" w:hanging="284"/>
        <w:jc w:val="both"/>
        <w:rPr>
          <w:rFonts w:ascii="David" w:hAnsi="David" w:cs="David"/>
          <w:sz w:val="24"/>
          <w:szCs w:val="24"/>
        </w:rPr>
      </w:pPr>
      <w:r>
        <w:rPr>
          <w:rFonts w:ascii="David" w:hAnsi="David" w:cs="David"/>
          <w:sz w:val="24"/>
          <w:szCs w:val="24"/>
          <w:rtl/>
        </w:rPr>
        <w:t xml:space="preserve">ביום 23.3.14 הועברו זכויות המנוח בדירה ברח' </w:t>
      </w:r>
      <w:r w:rsidR="008566CA">
        <w:rPr>
          <w:rFonts w:ascii="David" w:hAnsi="David" w:cs="David" w:hint="cs"/>
          <w:sz w:val="24"/>
          <w:szCs w:val="24"/>
        </w:rPr>
        <w:t>XX</w:t>
      </w:r>
      <w:r>
        <w:rPr>
          <w:rFonts w:ascii="David" w:hAnsi="David" w:cs="David"/>
          <w:sz w:val="24"/>
          <w:szCs w:val="24"/>
          <w:rtl/>
        </w:rPr>
        <w:t xml:space="preserve"> ב</w:t>
      </w:r>
      <w:r w:rsidR="008566CA">
        <w:rPr>
          <w:rFonts w:ascii="David" w:hAnsi="David" w:cs="David" w:hint="cs"/>
          <w:sz w:val="24"/>
          <w:szCs w:val="24"/>
        </w:rPr>
        <w:t>XX</w:t>
      </w:r>
      <w:r>
        <w:rPr>
          <w:rFonts w:ascii="David" w:hAnsi="David" w:cs="David"/>
          <w:sz w:val="24"/>
          <w:szCs w:val="24"/>
          <w:rtl/>
        </w:rPr>
        <w:t xml:space="preserve">, הידועה גם כתת חלקה </w:t>
      </w:r>
      <w:r w:rsidR="008566CA">
        <w:rPr>
          <w:rFonts w:ascii="David" w:hAnsi="David" w:cs="David" w:hint="cs"/>
          <w:sz w:val="24"/>
          <w:szCs w:val="24"/>
        </w:rPr>
        <w:t>X</w:t>
      </w:r>
      <w:r>
        <w:rPr>
          <w:rFonts w:ascii="David" w:hAnsi="David" w:cs="David"/>
          <w:sz w:val="24"/>
          <w:szCs w:val="24"/>
          <w:rtl/>
        </w:rPr>
        <w:t xml:space="preserve">, בחלקה </w:t>
      </w:r>
      <w:r w:rsidR="008566CA">
        <w:rPr>
          <w:rFonts w:ascii="David" w:hAnsi="David" w:cs="David" w:hint="cs"/>
          <w:sz w:val="24"/>
          <w:szCs w:val="24"/>
        </w:rPr>
        <w:t>X</w:t>
      </w:r>
      <w:r>
        <w:rPr>
          <w:rFonts w:ascii="David" w:hAnsi="David" w:cs="David"/>
          <w:sz w:val="24"/>
          <w:szCs w:val="24"/>
          <w:rtl/>
        </w:rPr>
        <w:t xml:space="preserve">, גוש </w:t>
      </w:r>
      <w:r w:rsidR="008566CA">
        <w:rPr>
          <w:rFonts w:ascii="David" w:hAnsi="David" w:cs="David" w:hint="cs"/>
          <w:sz w:val="24"/>
          <w:szCs w:val="24"/>
        </w:rPr>
        <w:t>XXXXX</w:t>
      </w:r>
      <w:r w:rsidR="008566CA">
        <w:rPr>
          <w:rFonts w:ascii="David" w:hAnsi="David" w:cs="David" w:hint="cs"/>
          <w:sz w:val="24"/>
          <w:szCs w:val="24"/>
          <w:rtl/>
        </w:rPr>
        <w:t xml:space="preserve"> </w:t>
      </w:r>
      <w:r>
        <w:rPr>
          <w:rFonts w:ascii="David" w:hAnsi="David" w:cs="David"/>
          <w:sz w:val="24"/>
          <w:szCs w:val="24"/>
          <w:rtl/>
        </w:rPr>
        <w:t>(להלן: "</w:t>
      </w:r>
      <w:r>
        <w:rPr>
          <w:rFonts w:ascii="David" w:hAnsi="David" w:cs="David"/>
          <w:b/>
          <w:bCs/>
          <w:sz w:val="24"/>
          <w:szCs w:val="24"/>
          <w:rtl/>
        </w:rPr>
        <w:t>הדירה</w:t>
      </w:r>
      <w:r>
        <w:rPr>
          <w:rFonts w:ascii="David" w:hAnsi="David" w:cs="David"/>
          <w:sz w:val="24"/>
          <w:szCs w:val="24"/>
          <w:rtl/>
        </w:rPr>
        <w:t xml:space="preserve">"), בלשכת רישום המקרקעין, ע"ש האם, בהתאם לצוואה המשותפת ולצו קיום הצוואה. בו-ביום הועברו מלוא הזכויות בדירה </w:t>
      </w:r>
      <w:r>
        <w:rPr>
          <w:rFonts w:ascii="David" w:hAnsi="David" w:cs="David"/>
          <w:b/>
          <w:bCs/>
          <w:sz w:val="24"/>
          <w:szCs w:val="24"/>
          <w:rtl/>
        </w:rPr>
        <w:t>ללא תמורה</w:t>
      </w:r>
      <w:r>
        <w:rPr>
          <w:rFonts w:ascii="David" w:hAnsi="David" w:cs="David"/>
          <w:sz w:val="24"/>
          <w:szCs w:val="24"/>
          <w:rtl/>
        </w:rPr>
        <w:t xml:space="preserve"> מהאם ע"ש האחיות.</w:t>
      </w:r>
    </w:p>
    <w:p w:rsidR="00C33042" w:rsidRDefault="00C33042" w:rsidP="00C33042">
      <w:pPr>
        <w:pStyle w:val="ad"/>
        <w:numPr>
          <w:ilvl w:val="0"/>
          <w:numId w:val="1"/>
        </w:numPr>
        <w:spacing w:line="360" w:lineRule="auto"/>
        <w:ind w:left="368" w:hanging="284"/>
        <w:jc w:val="both"/>
        <w:rPr>
          <w:rFonts w:ascii="David" w:hAnsi="David" w:cs="David"/>
          <w:sz w:val="24"/>
          <w:szCs w:val="24"/>
        </w:rPr>
      </w:pPr>
      <w:r>
        <w:rPr>
          <w:rFonts w:ascii="David" w:hAnsi="David" w:cs="David"/>
          <w:sz w:val="24"/>
          <w:szCs w:val="24"/>
          <w:rtl/>
        </w:rPr>
        <w:t>אין חולק כי בפועל המשיכה האם כל השנים לגור בדירה עד עצם היום הזה, והיא המחזיקה בה.</w:t>
      </w:r>
    </w:p>
    <w:p w:rsidR="00C33042" w:rsidRDefault="00C33042" w:rsidP="00C33042">
      <w:pPr>
        <w:pStyle w:val="ad"/>
        <w:numPr>
          <w:ilvl w:val="0"/>
          <w:numId w:val="1"/>
        </w:numPr>
        <w:spacing w:line="360" w:lineRule="auto"/>
        <w:ind w:left="368" w:hanging="284"/>
        <w:jc w:val="both"/>
        <w:rPr>
          <w:rFonts w:ascii="David" w:hAnsi="David" w:cs="David"/>
          <w:sz w:val="24"/>
          <w:szCs w:val="24"/>
        </w:rPr>
      </w:pPr>
      <w:r>
        <w:rPr>
          <w:rFonts w:ascii="David" w:hAnsi="David" w:cs="David"/>
          <w:sz w:val="24"/>
          <w:szCs w:val="24"/>
          <w:rtl/>
        </w:rPr>
        <w:t>האם חתמה על שתי צוואות מאוחרות יותר, מהימים 18.8.92 ו- 1.4.02, שבהן הסבירה מדוע צריכה הדירה להינתן רק לאחיות.</w:t>
      </w:r>
    </w:p>
    <w:p w:rsidR="00C33042" w:rsidRDefault="00C33042" w:rsidP="00C33042">
      <w:pPr>
        <w:pStyle w:val="ad"/>
        <w:numPr>
          <w:ilvl w:val="0"/>
          <w:numId w:val="1"/>
        </w:numPr>
        <w:spacing w:line="360" w:lineRule="auto"/>
        <w:ind w:left="368" w:hanging="284"/>
        <w:jc w:val="both"/>
        <w:rPr>
          <w:rFonts w:ascii="David" w:hAnsi="David" w:cs="David"/>
          <w:sz w:val="24"/>
          <w:szCs w:val="24"/>
        </w:rPr>
      </w:pPr>
      <w:r>
        <w:rPr>
          <w:rFonts w:ascii="David" w:hAnsi="David" w:cs="David"/>
          <w:sz w:val="24"/>
          <w:szCs w:val="24"/>
          <w:rtl/>
        </w:rPr>
        <w:t xml:space="preserve">ביום 28.10.19 הגיש המערער כנגד המשיבות את </w:t>
      </w:r>
      <w:r>
        <w:rPr>
          <w:rFonts w:ascii="David" w:hAnsi="David" w:cs="David"/>
          <w:b/>
          <w:bCs/>
          <w:sz w:val="24"/>
          <w:szCs w:val="24"/>
          <w:rtl/>
        </w:rPr>
        <w:t>התביעה מושא הערעור</w:t>
      </w:r>
      <w:r>
        <w:rPr>
          <w:rFonts w:ascii="David" w:hAnsi="David" w:cs="David"/>
          <w:sz w:val="24"/>
          <w:szCs w:val="24"/>
          <w:rtl/>
        </w:rPr>
        <w:t xml:space="preserve"> למתן פסק דין הצהרתי לפיו, ההעברה ללא תמורה מיום 23.3.14 של זכויות האם בדירה לאחיות, בוצעה בניגוד לדין, והיא בטלה. </w:t>
      </w:r>
    </w:p>
    <w:p w:rsidR="00C33042" w:rsidRDefault="00C33042" w:rsidP="00C33042">
      <w:pPr>
        <w:pStyle w:val="ad"/>
        <w:numPr>
          <w:ilvl w:val="0"/>
          <w:numId w:val="1"/>
        </w:numPr>
        <w:spacing w:line="360" w:lineRule="auto"/>
        <w:ind w:left="368" w:hanging="284"/>
        <w:jc w:val="both"/>
        <w:rPr>
          <w:rFonts w:ascii="David" w:hAnsi="David" w:cs="David"/>
          <w:sz w:val="24"/>
          <w:szCs w:val="24"/>
        </w:rPr>
      </w:pPr>
      <w:r>
        <w:rPr>
          <w:rFonts w:ascii="David" w:hAnsi="David" w:cs="David"/>
          <w:b/>
          <w:bCs/>
          <w:sz w:val="24"/>
          <w:szCs w:val="24"/>
          <w:u w:val="single"/>
          <w:rtl/>
        </w:rPr>
        <w:t>המערער טען בבית המשפט קמא את הטענות כדלקמן</w:t>
      </w:r>
      <w:r>
        <w:rPr>
          <w:rFonts w:ascii="David" w:hAnsi="David" w:cs="David"/>
          <w:sz w:val="24"/>
          <w:szCs w:val="24"/>
          <w:rtl/>
        </w:rPr>
        <w:t>:</w:t>
      </w:r>
    </w:p>
    <w:p w:rsidR="00C33042" w:rsidRDefault="00C33042" w:rsidP="00C33042">
      <w:pPr>
        <w:pStyle w:val="ad"/>
        <w:numPr>
          <w:ilvl w:val="0"/>
          <w:numId w:val="2"/>
        </w:numPr>
        <w:spacing w:after="0" w:line="360" w:lineRule="auto"/>
        <w:ind w:left="651" w:hanging="283"/>
        <w:jc w:val="both"/>
        <w:rPr>
          <w:rFonts w:ascii="David" w:hAnsi="David" w:cs="David"/>
          <w:sz w:val="24"/>
          <w:szCs w:val="24"/>
        </w:rPr>
      </w:pPr>
      <w:r>
        <w:rPr>
          <w:rFonts w:ascii="David" w:hAnsi="David" w:cs="David"/>
          <w:sz w:val="24"/>
          <w:szCs w:val="24"/>
          <w:rtl/>
        </w:rPr>
        <w:t>צוואת המנוח והאם הינה צוואה הדדית, האוסרת שינויה בידי מי מבין עורכיה מתוך הסתמכות של שני הצדדים האחד על משנהו. האם לא הייתה רשאית להעביר את הדירה ע"ש האחיות בניגוד להוראות הצוואה.</w:t>
      </w:r>
    </w:p>
    <w:p w:rsidR="00C33042" w:rsidRDefault="00C33042" w:rsidP="00C33042">
      <w:pPr>
        <w:pStyle w:val="ad"/>
        <w:numPr>
          <w:ilvl w:val="0"/>
          <w:numId w:val="2"/>
        </w:numPr>
        <w:spacing w:after="0" w:line="360" w:lineRule="auto"/>
        <w:ind w:left="651" w:hanging="283"/>
        <w:jc w:val="both"/>
        <w:rPr>
          <w:rFonts w:ascii="David" w:hAnsi="David" w:cs="David"/>
          <w:sz w:val="24"/>
          <w:szCs w:val="24"/>
        </w:rPr>
      </w:pPr>
      <w:r>
        <w:rPr>
          <w:rFonts w:ascii="David" w:hAnsi="David" w:cs="David"/>
          <w:sz w:val="24"/>
          <w:szCs w:val="24"/>
          <w:rtl/>
        </w:rPr>
        <w:t>הצוואה קובעת הסדר של יורש אחר יורש. האם לא הייתה רשאית לעשות כל עסקה בדירה. פעולה זו שמורה ליורשים שאחריה.</w:t>
      </w:r>
    </w:p>
    <w:p w:rsidR="00C33042" w:rsidRDefault="00C33042" w:rsidP="00C33042">
      <w:pPr>
        <w:pStyle w:val="ad"/>
        <w:numPr>
          <w:ilvl w:val="0"/>
          <w:numId w:val="2"/>
        </w:numPr>
        <w:spacing w:after="0" w:line="360" w:lineRule="auto"/>
        <w:ind w:left="651" w:hanging="283"/>
        <w:jc w:val="both"/>
        <w:rPr>
          <w:rFonts w:ascii="David" w:hAnsi="David" w:cs="David"/>
          <w:sz w:val="24"/>
          <w:szCs w:val="24"/>
          <w:rtl/>
        </w:rPr>
      </w:pPr>
      <w:r>
        <w:rPr>
          <w:rFonts w:ascii="David" w:hAnsi="David" w:cs="David"/>
          <w:sz w:val="24"/>
          <w:szCs w:val="24"/>
          <w:rtl/>
        </w:rPr>
        <w:t>העברת הדירה ללא תמורה מהאם לאחיות עומדת בניגוד לסעיף 8א. לחוק הירושה,</w:t>
      </w:r>
      <w:r>
        <w:rPr>
          <w:rFonts w:ascii="David" w:hAnsi="David" w:cs="David"/>
          <w:b/>
          <w:bCs/>
          <w:kern w:val="36"/>
          <w:sz w:val="24"/>
          <w:szCs w:val="24"/>
          <w:rtl/>
        </w:rPr>
        <w:t xml:space="preserve"> </w:t>
      </w:r>
      <w:r>
        <w:rPr>
          <w:rFonts w:ascii="David" w:hAnsi="David" w:cs="David"/>
          <w:kern w:val="36"/>
          <w:sz w:val="24"/>
          <w:szCs w:val="24"/>
          <w:rtl/>
        </w:rPr>
        <w:t>התשכ"ה-1965</w:t>
      </w:r>
      <w:r>
        <w:rPr>
          <w:rFonts w:ascii="David" w:hAnsi="David" w:cs="David"/>
          <w:sz w:val="24"/>
          <w:szCs w:val="24"/>
          <w:rtl/>
        </w:rPr>
        <w:t xml:space="preserve"> (להלן: "</w:t>
      </w:r>
      <w:r>
        <w:rPr>
          <w:rFonts w:ascii="David" w:hAnsi="David" w:cs="David"/>
          <w:b/>
          <w:bCs/>
          <w:sz w:val="24"/>
          <w:szCs w:val="24"/>
          <w:rtl/>
        </w:rPr>
        <w:t>חוק הירושה</w:t>
      </w:r>
      <w:r>
        <w:rPr>
          <w:rFonts w:ascii="David" w:hAnsi="David" w:cs="David"/>
          <w:sz w:val="24"/>
          <w:szCs w:val="24"/>
          <w:rtl/>
        </w:rPr>
        <w:t>") שכן האם עדיין מתגוררת בדירה, וההעברה בוצעה על מנת לעקוף את הוראות החוק והצוואה.</w:t>
      </w:r>
    </w:p>
    <w:p w:rsidR="00C33042" w:rsidRDefault="00C33042" w:rsidP="00C33042">
      <w:pPr>
        <w:pStyle w:val="ad"/>
        <w:spacing w:after="0" w:line="360" w:lineRule="auto"/>
        <w:ind w:left="728"/>
        <w:jc w:val="both"/>
        <w:rPr>
          <w:rFonts w:ascii="David" w:hAnsi="David" w:cs="David"/>
          <w:sz w:val="24"/>
          <w:szCs w:val="24"/>
        </w:rPr>
      </w:pPr>
    </w:p>
    <w:p w:rsidR="00C33042" w:rsidRDefault="00C33042" w:rsidP="00C33042">
      <w:pPr>
        <w:spacing w:line="360" w:lineRule="auto"/>
        <w:ind w:hanging="57"/>
        <w:jc w:val="both"/>
        <w:rPr>
          <w:rFonts w:ascii="David" w:hAnsi="David"/>
          <w:b/>
          <w:bCs/>
          <w:sz w:val="28"/>
          <w:szCs w:val="28"/>
          <w:u w:val="single"/>
        </w:rPr>
      </w:pPr>
      <w:r>
        <w:rPr>
          <w:rFonts w:ascii="David" w:hAnsi="David"/>
          <w:b/>
          <w:bCs/>
          <w:sz w:val="28"/>
          <w:szCs w:val="28"/>
          <w:u w:val="single"/>
          <w:rtl/>
        </w:rPr>
        <w:t>פסק דינו של בית המשפט קמא</w:t>
      </w:r>
      <w:r>
        <w:rPr>
          <w:rFonts w:ascii="David" w:hAnsi="David"/>
          <w:b/>
          <w:bCs/>
          <w:sz w:val="28"/>
          <w:szCs w:val="28"/>
          <w:rtl/>
        </w:rPr>
        <w:t>:</w:t>
      </w:r>
    </w:p>
    <w:p w:rsidR="00C33042" w:rsidRDefault="00C33042" w:rsidP="00C33042">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בית המשפט קמא קבע, לאחר בחינת מכלול הראיות שבתיק, כי דין התביעה להידחות. בית המשפט קמא סבר כי העברת הזכויות מהאם לאחיות </w:t>
      </w:r>
      <w:r>
        <w:rPr>
          <w:rFonts w:ascii="David" w:hAnsi="David" w:cs="David"/>
          <w:b/>
          <w:bCs/>
          <w:sz w:val="24"/>
          <w:szCs w:val="24"/>
          <w:rtl/>
        </w:rPr>
        <w:t>בוצעה כדין</w:t>
      </w:r>
      <w:r>
        <w:rPr>
          <w:rFonts w:ascii="David" w:hAnsi="David" w:cs="David"/>
          <w:sz w:val="24"/>
          <w:szCs w:val="24"/>
          <w:rtl/>
        </w:rPr>
        <w:t xml:space="preserve"> בשל העדר מניעה מצד האם להעביר את הזכויות בדירה לאחיות מן הטעמים הבאים:</w:t>
      </w:r>
    </w:p>
    <w:p w:rsidR="00C33042" w:rsidRDefault="00C33042" w:rsidP="00C33042">
      <w:pPr>
        <w:pStyle w:val="ad"/>
        <w:numPr>
          <w:ilvl w:val="0"/>
          <w:numId w:val="3"/>
        </w:numPr>
        <w:spacing w:after="0" w:line="360" w:lineRule="auto"/>
        <w:ind w:left="651" w:hanging="283"/>
        <w:jc w:val="both"/>
        <w:rPr>
          <w:rFonts w:ascii="David" w:hAnsi="David" w:cs="David"/>
          <w:sz w:val="24"/>
          <w:szCs w:val="24"/>
          <w:rtl/>
        </w:rPr>
      </w:pPr>
      <w:r>
        <w:rPr>
          <w:rFonts w:ascii="David" w:hAnsi="David" w:cs="David"/>
          <w:b/>
          <w:bCs/>
          <w:sz w:val="24"/>
          <w:szCs w:val="24"/>
          <w:rtl/>
        </w:rPr>
        <w:lastRenderedPageBreak/>
        <w:t>ההסדר שקבעו המנוח והאם בצוואה המשותפת</w:t>
      </w:r>
      <w:r>
        <w:rPr>
          <w:rFonts w:ascii="David" w:hAnsi="David" w:cs="David"/>
          <w:sz w:val="24"/>
          <w:szCs w:val="24"/>
          <w:rtl/>
        </w:rPr>
        <w:t xml:space="preserve">, אינו הסדר של "יורש אחר יורש", לפי סעיף 42 לחוק הירושה, כטענת המערער, אלא </w:t>
      </w:r>
      <w:r>
        <w:rPr>
          <w:rFonts w:ascii="David" w:hAnsi="David" w:cs="David"/>
          <w:b/>
          <w:bCs/>
          <w:sz w:val="24"/>
          <w:szCs w:val="24"/>
          <w:rtl/>
        </w:rPr>
        <w:t>הסדר של</w:t>
      </w:r>
      <w:r>
        <w:rPr>
          <w:rFonts w:ascii="David" w:hAnsi="David" w:cs="David"/>
          <w:sz w:val="24"/>
          <w:szCs w:val="24"/>
          <w:rtl/>
        </w:rPr>
        <w:t xml:space="preserve"> "</w:t>
      </w:r>
      <w:r>
        <w:rPr>
          <w:rFonts w:ascii="David" w:hAnsi="David" w:cs="David"/>
          <w:b/>
          <w:bCs/>
          <w:sz w:val="24"/>
          <w:szCs w:val="24"/>
          <w:rtl/>
        </w:rPr>
        <w:t>יורש במקום יורש</w:t>
      </w:r>
      <w:r>
        <w:rPr>
          <w:rFonts w:ascii="David" w:hAnsi="David" w:cs="David"/>
          <w:sz w:val="24"/>
          <w:szCs w:val="24"/>
          <w:rtl/>
        </w:rPr>
        <w:t xml:space="preserve">", לפי סעיף 41 לחוק הירושה. מהוראת סעיף 2א' לצוואה המשותפת, נלמד כי המנוח קבע שמי שיירש אותו, היא האם. אולם, הוא ציפה כי ייתכן שהאם לא תהיה בחיים בעת פטירתו, ולכן הורה כי במקרה שכזה, תימכר הדירה, והתמורה תחולק בחלקים שווים למערער, לאחיות ולנכדה במקומה [סעיף 2ג(1) לצוואה המשותפת]. אין בצוואה המשותפת כל התייחסות ליורש שיבוא אחר האם, במקרה שהאם היא היורשת. לאחר שירשה האם את עיזבון המנוח, ומשלא קוים התנאי ברישא של סעיף 2ג' לצוואה המשותפת (המנוח והאם לא מתו יחד באותו זמן ו/או בזמנים שונים, ואף אחד מהם לא נשאר בחיים, שכן האם עודנה בחיים), הרי שהוראות צוואת המנוח מוצו. לפיכך, </w:t>
      </w:r>
      <w:r>
        <w:rPr>
          <w:rFonts w:ascii="David" w:hAnsi="David" w:cs="David"/>
          <w:b/>
          <w:bCs/>
          <w:sz w:val="24"/>
          <w:szCs w:val="24"/>
          <w:rtl/>
        </w:rPr>
        <w:t>האם רשאית הייתה לעשות ברכוש שירשה מהמנוח, כפי שחפצה</w:t>
      </w:r>
      <w:r>
        <w:rPr>
          <w:rFonts w:ascii="David" w:hAnsi="David" w:cs="David"/>
          <w:sz w:val="24"/>
          <w:szCs w:val="24"/>
          <w:rtl/>
        </w:rPr>
        <w:t>.</w:t>
      </w:r>
    </w:p>
    <w:p w:rsidR="00C33042" w:rsidRDefault="00C33042" w:rsidP="00645A68">
      <w:pPr>
        <w:pStyle w:val="ad"/>
        <w:numPr>
          <w:ilvl w:val="0"/>
          <w:numId w:val="3"/>
        </w:numPr>
        <w:spacing w:after="0" w:line="360" w:lineRule="auto"/>
        <w:ind w:left="651" w:hanging="283"/>
        <w:jc w:val="both"/>
        <w:rPr>
          <w:rFonts w:ascii="David" w:hAnsi="David" w:cs="David"/>
          <w:sz w:val="24"/>
          <w:szCs w:val="24"/>
        </w:rPr>
      </w:pPr>
      <w:r>
        <w:rPr>
          <w:rFonts w:ascii="David" w:hAnsi="David" w:cs="David"/>
          <w:b/>
          <w:bCs/>
          <w:sz w:val="24"/>
          <w:szCs w:val="24"/>
          <w:rtl/>
        </w:rPr>
        <w:t xml:space="preserve">אף אם היינו מניחים, לטובת המערער, כי מדובר בהסדר של "יורש אחר יורש", הרי שהאם בחייה רשאית לנהוג בדירה כבשלה </w:t>
      </w:r>
      <w:r>
        <w:rPr>
          <w:rFonts w:ascii="David" w:hAnsi="David" w:cs="David"/>
          <w:sz w:val="24"/>
          <w:szCs w:val="24"/>
          <w:rtl/>
        </w:rPr>
        <w:t xml:space="preserve">(סעיף 42 לחוק הירושה), והיורשים אחריה לא יזכו אלא במה ששיירה האם. המנוח הורה בצוואה המשותפת כי "אחרי מותו של </w:t>
      </w:r>
      <w:r w:rsidR="00645A68">
        <w:rPr>
          <w:rFonts w:ascii="David" w:hAnsi="David" w:cs="David" w:hint="cs"/>
          <w:sz w:val="24"/>
          <w:szCs w:val="24"/>
          <w:rtl/>
        </w:rPr>
        <w:t>ב' י'</w:t>
      </w:r>
      <w:r>
        <w:rPr>
          <w:rFonts w:ascii="David" w:hAnsi="David" w:cs="David"/>
          <w:sz w:val="24"/>
          <w:szCs w:val="24"/>
          <w:rtl/>
        </w:rPr>
        <w:t xml:space="preserve"> אשתו </w:t>
      </w:r>
      <w:r w:rsidR="00645A68">
        <w:rPr>
          <w:rFonts w:ascii="David" w:hAnsi="David" w:cs="David" w:hint="cs"/>
          <w:sz w:val="24"/>
          <w:szCs w:val="24"/>
          <w:rtl/>
        </w:rPr>
        <w:t>ב' צ'</w:t>
      </w:r>
      <w:r>
        <w:rPr>
          <w:rFonts w:ascii="David" w:hAnsi="David" w:cs="David"/>
          <w:sz w:val="24"/>
          <w:szCs w:val="24"/>
          <w:rtl/>
        </w:rPr>
        <w:t xml:space="preserve"> תקבל הנ"ל בשלמותו", ולא הורה דבר באשר להגבלת כוחה של האם לנהוג בנכסים שירשה בעודה בחיים. בין אם ההסדר שלפנינו הוא הסדר של "יורש אחר יורש", ובין אם הוא הסדר של "יורש במקום יורש", לא היה, לגופו של עניין, כל איסור על האם להעביר את הדירה לאחרים בחייה.</w:t>
      </w:r>
    </w:p>
    <w:p w:rsidR="00C33042" w:rsidRDefault="00C33042" w:rsidP="00645A68">
      <w:pPr>
        <w:pStyle w:val="ad"/>
        <w:numPr>
          <w:ilvl w:val="0"/>
          <w:numId w:val="3"/>
        </w:numPr>
        <w:spacing w:after="0" w:line="360" w:lineRule="auto"/>
        <w:ind w:left="651" w:hanging="283"/>
        <w:jc w:val="both"/>
        <w:rPr>
          <w:rFonts w:ascii="David" w:hAnsi="David" w:cs="David"/>
          <w:sz w:val="24"/>
          <w:szCs w:val="24"/>
        </w:rPr>
      </w:pPr>
      <w:r>
        <w:rPr>
          <w:rFonts w:ascii="David" w:hAnsi="David" w:cs="David"/>
          <w:b/>
          <w:bCs/>
          <w:sz w:val="24"/>
          <w:szCs w:val="24"/>
          <w:rtl/>
        </w:rPr>
        <w:t>העברת הזכויות במבנה התעשייה ברחוב ה</w:t>
      </w:r>
      <w:r w:rsidR="00645A68">
        <w:rPr>
          <w:rFonts w:ascii="David" w:hAnsi="David" w:cs="David" w:hint="cs"/>
          <w:b/>
          <w:bCs/>
          <w:sz w:val="24"/>
          <w:szCs w:val="24"/>
        </w:rPr>
        <w:t>XX</w:t>
      </w:r>
      <w:r>
        <w:rPr>
          <w:rFonts w:ascii="David" w:hAnsi="David" w:cs="David"/>
          <w:b/>
          <w:bCs/>
          <w:sz w:val="24"/>
          <w:szCs w:val="24"/>
          <w:rtl/>
        </w:rPr>
        <w:t xml:space="preserve"> ב</w:t>
      </w:r>
      <w:r w:rsidR="00645A68">
        <w:rPr>
          <w:rFonts w:ascii="David" w:hAnsi="David" w:cs="David" w:hint="cs"/>
          <w:b/>
          <w:bCs/>
          <w:sz w:val="24"/>
          <w:szCs w:val="24"/>
        </w:rPr>
        <w:t>XX</w:t>
      </w:r>
      <w:r>
        <w:rPr>
          <w:rFonts w:ascii="David" w:hAnsi="David" w:cs="David"/>
          <w:sz w:val="24"/>
          <w:szCs w:val="24"/>
          <w:rtl/>
        </w:rPr>
        <w:t>, מהאם לידי המערער, מחזקת את המסקנה שלא נפל דופי בהעברת הזכויות בדירה ע"ש האחיות.</w:t>
      </w:r>
    </w:p>
    <w:p w:rsidR="00C33042" w:rsidRDefault="00C33042" w:rsidP="00C33042">
      <w:pPr>
        <w:pStyle w:val="ad"/>
        <w:numPr>
          <w:ilvl w:val="0"/>
          <w:numId w:val="3"/>
        </w:numPr>
        <w:spacing w:after="0" w:line="360" w:lineRule="auto"/>
        <w:ind w:left="651" w:hanging="283"/>
        <w:jc w:val="both"/>
        <w:rPr>
          <w:rFonts w:ascii="David" w:hAnsi="David" w:cs="David"/>
          <w:sz w:val="24"/>
          <w:szCs w:val="24"/>
        </w:rPr>
      </w:pPr>
      <w:r>
        <w:rPr>
          <w:rFonts w:ascii="David" w:hAnsi="David" w:cs="David"/>
          <w:sz w:val="24"/>
          <w:szCs w:val="24"/>
          <w:rtl/>
        </w:rPr>
        <w:t>לאור המסקנה כי מדובר בהסדר של "יורש במקום יורש", הרי ש</w:t>
      </w:r>
      <w:r>
        <w:rPr>
          <w:rFonts w:ascii="David" w:hAnsi="David" w:cs="David"/>
          <w:b/>
          <w:bCs/>
          <w:sz w:val="24"/>
          <w:szCs w:val="24"/>
          <w:rtl/>
        </w:rPr>
        <w:t xml:space="preserve">מתייתר הצורך להידרש לשאלה אם מדובר בצוואה הדדית אם לאו </w:t>
      </w:r>
      <w:r>
        <w:rPr>
          <w:rFonts w:ascii="David" w:hAnsi="David" w:cs="David"/>
          <w:sz w:val="24"/>
          <w:szCs w:val="24"/>
          <w:rtl/>
        </w:rPr>
        <w:t xml:space="preserve">לצורך הכרעה בתובענה דנן. </w:t>
      </w:r>
    </w:p>
    <w:p w:rsidR="00C33042" w:rsidRDefault="00C33042" w:rsidP="00C33042">
      <w:pPr>
        <w:pStyle w:val="ad"/>
        <w:numPr>
          <w:ilvl w:val="0"/>
          <w:numId w:val="3"/>
        </w:numPr>
        <w:spacing w:after="0" w:line="360" w:lineRule="auto"/>
        <w:ind w:left="651" w:hanging="283"/>
        <w:jc w:val="both"/>
        <w:rPr>
          <w:rFonts w:ascii="David" w:hAnsi="David" w:cs="David"/>
          <w:sz w:val="24"/>
          <w:szCs w:val="24"/>
        </w:rPr>
      </w:pPr>
      <w:r>
        <w:rPr>
          <w:rFonts w:ascii="David" w:hAnsi="David" w:cs="David"/>
          <w:sz w:val="24"/>
          <w:szCs w:val="24"/>
          <w:rtl/>
        </w:rPr>
        <w:t xml:space="preserve">למעלה מן הצורך, סעיף 2 לתיקון מס' 12, התשס"ה-2005, ס"ח 714 לחוק הירושה (שבו התווספה הוראה בדבר צוואות הדדיות), קבע כי הוראות התיקון לחוק "לא יפגעו בתוקפן של צוואות שנעשו לפניו". מאחר שבענייננו, הצוואה המשותפת נחתמה ביום 13.10.88, ואילו </w:t>
      </w:r>
      <w:r>
        <w:rPr>
          <w:rFonts w:ascii="David" w:hAnsi="David" w:cs="David"/>
          <w:b/>
          <w:bCs/>
          <w:sz w:val="24"/>
          <w:szCs w:val="24"/>
          <w:rtl/>
        </w:rPr>
        <w:t xml:space="preserve">התיקון לחוק </w:t>
      </w:r>
      <w:r>
        <w:rPr>
          <w:rFonts w:ascii="David" w:hAnsi="David" w:cs="David"/>
          <w:sz w:val="24"/>
          <w:szCs w:val="24"/>
          <w:rtl/>
        </w:rPr>
        <w:t>נכנס לתוקפו ביום 1.8.05, הרי ש</w:t>
      </w:r>
      <w:r>
        <w:rPr>
          <w:rFonts w:ascii="David" w:hAnsi="David" w:cs="David"/>
          <w:b/>
          <w:bCs/>
          <w:sz w:val="24"/>
          <w:szCs w:val="24"/>
          <w:rtl/>
        </w:rPr>
        <w:t>אינו חל על ענייננו</w:t>
      </w:r>
      <w:r>
        <w:rPr>
          <w:rFonts w:ascii="David" w:hAnsi="David" w:cs="David"/>
          <w:sz w:val="24"/>
          <w:szCs w:val="24"/>
          <w:rtl/>
        </w:rPr>
        <w:t>, דהיינו: סעיף 8א. לחוק הירושה, שכותרתו "צוואות הדדיות", אינו חל על ענייננו.</w:t>
      </w:r>
    </w:p>
    <w:p w:rsidR="00C33042" w:rsidRDefault="00C33042" w:rsidP="00C33042">
      <w:pPr>
        <w:pStyle w:val="ad"/>
        <w:numPr>
          <w:ilvl w:val="0"/>
          <w:numId w:val="3"/>
        </w:numPr>
        <w:spacing w:after="0" w:line="360" w:lineRule="auto"/>
        <w:ind w:left="651" w:hanging="283"/>
        <w:jc w:val="both"/>
        <w:rPr>
          <w:rFonts w:ascii="David" w:hAnsi="David" w:cs="David"/>
          <w:sz w:val="24"/>
          <w:szCs w:val="24"/>
        </w:rPr>
      </w:pPr>
      <w:r>
        <w:rPr>
          <w:rFonts w:ascii="David" w:hAnsi="David" w:cs="David"/>
          <w:b/>
          <w:bCs/>
          <w:sz w:val="24"/>
          <w:szCs w:val="24"/>
          <w:rtl/>
        </w:rPr>
        <w:t>גם לו מדובר היה בצוואה הדדית במקרה דנן, הרי שלא חלה מגבלה על האם להעביר הדירה בחייה</w:t>
      </w:r>
      <w:r>
        <w:rPr>
          <w:rFonts w:ascii="David" w:hAnsi="David" w:cs="David"/>
          <w:sz w:val="24"/>
          <w:szCs w:val="24"/>
          <w:rtl/>
        </w:rPr>
        <w:t xml:space="preserve">. </w:t>
      </w:r>
    </w:p>
    <w:p w:rsidR="00C33042" w:rsidRDefault="00C33042" w:rsidP="00C33042">
      <w:pPr>
        <w:pStyle w:val="ad"/>
        <w:numPr>
          <w:ilvl w:val="0"/>
          <w:numId w:val="3"/>
        </w:numPr>
        <w:spacing w:after="0" w:line="360" w:lineRule="auto"/>
        <w:ind w:left="651" w:hanging="283"/>
        <w:jc w:val="both"/>
        <w:rPr>
          <w:rFonts w:ascii="David" w:hAnsi="David" w:cs="David"/>
          <w:sz w:val="24"/>
          <w:szCs w:val="24"/>
        </w:rPr>
      </w:pPr>
      <w:r>
        <w:rPr>
          <w:rFonts w:ascii="David" w:hAnsi="David" w:cs="David"/>
          <w:sz w:val="24"/>
          <w:szCs w:val="24"/>
          <w:rtl/>
        </w:rPr>
        <w:t xml:space="preserve">לאור הקביעה כי ההעברה בוצעה כדין, ואינה מנוגדת להוראות הצוואה המשותפת, </w:t>
      </w:r>
      <w:r>
        <w:rPr>
          <w:rFonts w:ascii="David" w:hAnsi="David" w:cs="David"/>
          <w:b/>
          <w:bCs/>
          <w:sz w:val="24"/>
          <w:szCs w:val="24"/>
          <w:rtl/>
        </w:rPr>
        <w:t>מתייתר הצורך לבחון את השאלה אם ההעברה בוצעה על מנת לעקוף את הוראות הצוואה</w:t>
      </w:r>
      <w:r>
        <w:rPr>
          <w:rFonts w:ascii="David" w:hAnsi="David" w:cs="David"/>
          <w:sz w:val="24"/>
          <w:szCs w:val="24"/>
          <w:rtl/>
        </w:rPr>
        <w:t xml:space="preserve">. אולם, </w:t>
      </w:r>
      <w:r>
        <w:rPr>
          <w:rFonts w:ascii="David" w:hAnsi="David" w:cs="David"/>
          <w:b/>
          <w:bCs/>
          <w:sz w:val="24"/>
          <w:szCs w:val="24"/>
          <w:rtl/>
        </w:rPr>
        <w:t>טענת המערער לפיה, העברת הדירה ללא תמורה מהאם לאחיות, עומדת בניגוד לסעיף 8 לחוק הירושה - נדחית</w:t>
      </w:r>
      <w:r>
        <w:rPr>
          <w:rFonts w:ascii="David" w:hAnsi="David" w:cs="David"/>
          <w:sz w:val="24"/>
          <w:szCs w:val="24"/>
          <w:rtl/>
        </w:rPr>
        <w:t xml:space="preserve">. על רקע הפרשנות הזהירה והמצמצמת שיש ליתן להוראת הבטלות שבסעיף 8(ב) לחוק הירושה, עסקת המתנה הושלמה, וזכויות האם בנכס הועברו במלואן </w:t>
      </w:r>
      <w:r>
        <w:rPr>
          <w:rFonts w:ascii="David" w:hAnsi="David" w:cs="David"/>
          <w:sz w:val="24"/>
          <w:szCs w:val="24"/>
          <w:rtl/>
        </w:rPr>
        <w:lastRenderedPageBreak/>
        <w:t xml:space="preserve">לאחיות לאלתר, בחייה של האם. אין מדובר ב- "מתנה מחמת מיתה". הסכמת האם והאחיות כי האם תמשיך להתגורר בדירה למשך כל ימי חייה, אין בה כדי לפגום בבעלות האחיות על הדירה. </w:t>
      </w:r>
    </w:p>
    <w:p w:rsidR="00C33042" w:rsidRDefault="00C33042" w:rsidP="00C33042">
      <w:pPr>
        <w:pStyle w:val="ad"/>
        <w:numPr>
          <w:ilvl w:val="0"/>
          <w:numId w:val="3"/>
        </w:numPr>
        <w:spacing w:after="0" w:line="360" w:lineRule="auto"/>
        <w:ind w:left="651" w:hanging="283"/>
        <w:jc w:val="both"/>
        <w:rPr>
          <w:rFonts w:ascii="David" w:hAnsi="David" w:cs="David"/>
          <w:sz w:val="24"/>
          <w:szCs w:val="24"/>
        </w:rPr>
      </w:pPr>
      <w:r>
        <w:rPr>
          <w:rFonts w:ascii="David" w:hAnsi="David" w:cs="David"/>
          <w:b/>
          <w:bCs/>
          <w:sz w:val="24"/>
          <w:szCs w:val="24"/>
          <w:rtl/>
        </w:rPr>
        <w:t>אין לקבל טענת המערער לפיה, הצוואות המאוחרות של האם מלמדות על הפיקטיביות שבעסקת העברת הדירה ללא תמורה</w:t>
      </w:r>
      <w:r>
        <w:rPr>
          <w:rFonts w:ascii="David" w:hAnsi="David" w:cs="David"/>
          <w:sz w:val="24"/>
          <w:szCs w:val="24"/>
          <w:rtl/>
        </w:rPr>
        <w:t xml:space="preserve">. אין מקום להידרש לצוואות המאוחרות שאינן רלוונטיות להכרעה בתובענה.  </w:t>
      </w:r>
    </w:p>
    <w:p w:rsidR="00C33042" w:rsidRDefault="00C33042" w:rsidP="00645A68">
      <w:pPr>
        <w:pStyle w:val="ad"/>
        <w:numPr>
          <w:ilvl w:val="0"/>
          <w:numId w:val="3"/>
        </w:numPr>
        <w:spacing w:after="0" w:line="360" w:lineRule="auto"/>
        <w:ind w:left="651" w:hanging="283"/>
        <w:jc w:val="both"/>
        <w:rPr>
          <w:rFonts w:ascii="David" w:hAnsi="David" w:cs="David"/>
          <w:sz w:val="24"/>
          <w:szCs w:val="24"/>
        </w:rPr>
      </w:pPr>
      <w:r>
        <w:rPr>
          <w:rFonts w:ascii="David" w:hAnsi="David" w:cs="David"/>
          <w:b/>
          <w:bCs/>
          <w:sz w:val="24"/>
          <w:szCs w:val="24"/>
          <w:rtl/>
        </w:rPr>
        <w:t>אין כל ממש בטענת המערער לפיה, הימנעותה של האם ממתן עדות, פועלת לחובתן של המשיבות</w:t>
      </w:r>
      <w:r>
        <w:rPr>
          <w:rFonts w:ascii="David" w:hAnsi="David" w:cs="David"/>
          <w:sz w:val="24"/>
          <w:szCs w:val="24"/>
          <w:rtl/>
        </w:rPr>
        <w:t xml:space="preserve">. מדובר באישה בת 96 שנה (ילידת </w:t>
      </w:r>
      <w:r w:rsidR="00645A68">
        <w:rPr>
          <w:rFonts w:ascii="David" w:hAnsi="David" w:cs="David"/>
          <w:sz w:val="24"/>
          <w:szCs w:val="24"/>
        </w:rPr>
        <w:t>xx.04.26</w:t>
      </w:r>
      <w:r>
        <w:rPr>
          <w:rFonts w:ascii="David" w:hAnsi="David" w:cs="David"/>
          <w:sz w:val="24"/>
          <w:szCs w:val="24"/>
          <w:rtl/>
        </w:rPr>
        <w:t>) אשר הוצג תיעוד רפואי אודות מצבה. לפיכך, יש לקבל את עמדת המשיבות לפיה, האם אינה יכולה להעיד בבית המשפט קמא.</w:t>
      </w:r>
    </w:p>
    <w:p w:rsidR="00C33042" w:rsidRDefault="00C33042" w:rsidP="00C33042">
      <w:pPr>
        <w:pStyle w:val="ad"/>
        <w:numPr>
          <w:ilvl w:val="0"/>
          <w:numId w:val="3"/>
        </w:numPr>
        <w:spacing w:after="0" w:line="360" w:lineRule="auto"/>
        <w:ind w:left="651" w:hanging="283"/>
        <w:jc w:val="both"/>
        <w:rPr>
          <w:rFonts w:ascii="David" w:hAnsi="David" w:cs="David"/>
          <w:sz w:val="24"/>
          <w:szCs w:val="24"/>
          <w:rtl/>
        </w:rPr>
      </w:pPr>
      <w:r>
        <w:rPr>
          <w:rFonts w:ascii="David" w:hAnsi="David" w:cs="David"/>
          <w:sz w:val="24"/>
          <w:szCs w:val="24"/>
          <w:rtl/>
        </w:rPr>
        <w:t>לנוכח האמור, לא היה כל פסול בהעברת הזכויות בדירה לאחיות, וההעברה הייתה חוקית. לפיכך, דין התביעה להידחות תוך חיוב המערער בהוצאות משפט ובשכ"ט עו"ד בסך כולל של 7,500 ₪.</w:t>
      </w:r>
    </w:p>
    <w:p w:rsidR="00C33042" w:rsidRDefault="00C33042" w:rsidP="00C33042">
      <w:pPr>
        <w:spacing w:line="360" w:lineRule="auto"/>
        <w:ind w:left="84"/>
        <w:jc w:val="both"/>
        <w:rPr>
          <w:rFonts w:ascii="David" w:hAnsi="David"/>
        </w:rPr>
      </w:pPr>
    </w:p>
    <w:p w:rsidR="00C33042" w:rsidRDefault="00C33042" w:rsidP="00C33042">
      <w:pPr>
        <w:spacing w:line="360" w:lineRule="auto"/>
        <w:ind w:left="84"/>
        <w:jc w:val="both"/>
        <w:rPr>
          <w:rFonts w:ascii="David" w:hAnsi="David"/>
          <w:b/>
          <w:bCs/>
          <w:sz w:val="28"/>
          <w:szCs w:val="28"/>
          <w:u w:val="single"/>
          <w:rtl/>
        </w:rPr>
      </w:pPr>
      <w:r>
        <w:rPr>
          <w:rFonts w:ascii="David" w:hAnsi="David"/>
          <w:b/>
          <w:bCs/>
          <w:sz w:val="28"/>
          <w:szCs w:val="28"/>
          <w:u w:val="single"/>
          <w:rtl/>
        </w:rPr>
        <w:t>טענות הצדדים בערעור</w:t>
      </w:r>
      <w:r>
        <w:rPr>
          <w:rFonts w:ascii="David" w:hAnsi="David"/>
          <w:b/>
          <w:bCs/>
          <w:sz w:val="28"/>
          <w:szCs w:val="28"/>
          <w:rtl/>
        </w:rPr>
        <w:t>:</w:t>
      </w:r>
    </w:p>
    <w:p w:rsidR="00C33042" w:rsidRDefault="00C33042" w:rsidP="00C33042">
      <w:pPr>
        <w:pStyle w:val="ad"/>
        <w:numPr>
          <w:ilvl w:val="0"/>
          <w:numId w:val="1"/>
        </w:numPr>
        <w:spacing w:line="360" w:lineRule="auto"/>
        <w:ind w:left="368" w:hanging="284"/>
        <w:jc w:val="both"/>
        <w:rPr>
          <w:rFonts w:ascii="David" w:hAnsi="David" w:cs="David"/>
          <w:sz w:val="24"/>
          <w:szCs w:val="24"/>
          <w:rtl/>
        </w:rPr>
      </w:pPr>
      <w:r>
        <w:rPr>
          <w:rFonts w:ascii="David" w:hAnsi="David" w:cs="David"/>
          <w:b/>
          <w:bCs/>
          <w:sz w:val="24"/>
          <w:szCs w:val="24"/>
          <w:u w:val="single"/>
          <w:rtl/>
        </w:rPr>
        <w:t>המערער טען בכתב הערעור את הטענות הבאות</w:t>
      </w:r>
      <w:r>
        <w:rPr>
          <w:rFonts w:ascii="David" w:hAnsi="David" w:cs="David"/>
          <w:b/>
          <w:bCs/>
          <w:sz w:val="24"/>
          <w:szCs w:val="24"/>
          <w:rtl/>
        </w:rPr>
        <w:t>:</w:t>
      </w:r>
    </w:p>
    <w:p w:rsidR="00C33042" w:rsidRDefault="00C33042" w:rsidP="00C33042">
      <w:pPr>
        <w:pStyle w:val="ad"/>
        <w:numPr>
          <w:ilvl w:val="0"/>
          <w:numId w:val="4"/>
        </w:numPr>
        <w:spacing w:line="360" w:lineRule="auto"/>
        <w:jc w:val="both"/>
        <w:rPr>
          <w:rFonts w:ascii="David" w:hAnsi="David" w:cs="David"/>
          <w:sz w:val="24"/>
          <w:szCs w:val="24"/>
          <w:rtl/>
        </w:rPr>
      </w:pPr>
      <w:r>
        <w:rPr>
          <w:rFonts w:ascii="David" w:hAnsi="David" w:cs="David"/>
          <w:sz w:val="24"/>
          <w:szCs w:val="24"/>
          <w:rtl/>
        </w:rPr>
        <w:t>בית המשפט קמא שגה בקביעתו כי מדובר בענייננו</w:t>
      </w:r>
      <w:r>
        <w:rPr>
          <w:rFonts w:ascii="David" w:hAnsi="David" w:cs="David"/>
          <w:b/>
          <w:bCs/>
          <w:sz w:val="24"/>
          <w:szCs w:val="24"/>
          <w:rtl/>
        </w:rPr>
        <w:t xml:space="preserve"> </w:t>
      </w:r>
      <w:r>
        <w:rPr>
          <w:rFonts w:ascii="David" w:hAnsi="David" w:cs="David"/>
          <w:sz w:val="24"/>
          <w:szCs w:val="24"/>
          <w:rtl/>
        </w:rPr>
        <w:t>ב</w:t>
      </w:r>
      <w:r>
        <w:rPr>
          <w:rFonts w:ascii="David" w:hAnsi="David" w:cs="David"/>
          <w:b/>
          <w:bCs/>
          <w:sz w:val="24"/>
          <w:szCs w:val="24"/>
          <w:rtl/>
        </w:rPr>
        <w:t>הסדר של "יורש במקום יורש", לפי סעיף 41 לחוק הירושה</w:t>
      </w:r>
      <w:r>
        <w:rPr>
          <w:rFonts w:ascii="David" w:hAnsi="David" w:cs="David"/>
          <w:sz w:val="24"/>
          <w:szCs w:val="24"/>
          <w:rtl/>
        </w:rPr>
        <w:t xml:space="preserve">. הצוואה שערכו המנוח והאם בשנת 1988, היא צוואה הדדית שקבעה הסדר של "יורש אחר יורש", לפי סעיף 42 לחוק הירושה. בסעיף 2ג' לצוואה, הורו המנוח והאם למעשה כי רק </w:t>
      </w:r>
      <w:r>
        <w:rPr>
          <w:rFonts w:ascii="David" w:hAnsi="David" w:cs="David"/>
          <w:b/>
          <w:bCs/>
          <w:sz w:val="24"/>
          <w:szCs w:val="24"/>
          <w:rtl/>
        </w:rPr>
        <w:t>לאחר</w:t>
      </w:r>
      <w:r>
        <w:rPr>
          <w:rFonts w:ascii="David" w:hAnsi="David" w:cs="David"/>
          <w:sz w:val="24"/>
          <w:szCs w:val="24"/>
          <w:rtl/>
        </w:rPr>
        <w:t xml:space="preserve"> פטירת שני בני הזוג, </w:t>
      </w:r>
      <w:r>
        <w:rPr>
          <w:rFonts w:ascii="David" w:hAnsi="David" w:cs="David"/>
          <w:b/>
          <w:bCs/>
          <w:sz w:val="24"/>
          <w:szCs w:val="24"/>
          <w:rtl/>
        </w:rPr>
        <w:t>בזמנים שונים, ובעת ששניהם לא יהיו בחיים</w:t>
      </w:r>
      <w:r>
        <w:rPr>
          <w:rFonts w:ascii="David" w:hAnsi="David" w:cs="David"/>
          <w:sz w:val="24"/>
          <w:szCs w:val="24"/>
          <w:rtl/>
        </w:rPr>
        <w:t xml:space="preserve">, תימכר הדירה, ותמורתה תחולק בין הזוכים בחלקים שווים. המנוח והאם התכוונו שהדירה תמשיך ותשמש למגורים את בן הזוג שנותר בחיים, והוא לא יוכל למכרה (איסור כל טרנזקציה בדירה לפני פטירת שני בני הזוג). לפיכך, העברת הזכויות בדירה בחייה של האם, </w:t>
      </w:r>
      <w:r>
        <w:rPr>
          <w:rFonts w:ascii="David" w:hAnsi="David" w:cs="David"/>
          <w:b/>
          <w:bCs/>
          <w:sz w:val="24"/>
          <w:szCs w:val="24"/>
          <w:rtl/>
        </w:rPr>
        <w:t>מנוגדת לסעיף 53 לחוק הירושה</w:t>
      </w:r>
      <w:r>
        <w:rPr>
          <w:rFonts w:ascii="David" w:hAnsi="David" w:cs="David"/>
          <w:sz w:val="24"/>
          <w:szCs w:val="24"/>
          <w:rtl/>
        </w:rPr>
        <w:t xml:space="preserve"> המגביל את כוחו של היורש הראשון. למצער, האם לא יכולה הייתה להעביר את חלקו של המנוח.</w:t>
      </w:r>
    </w:p>
    <w:p w:rsidR="00C33042" w:rsidRDefault="00C33042" w:rsidP="00C33042">
      <w:pPr>
        <w:pStyle w:val="ad"/>
        <w:numPr>
          <w:ilvl w:val="0"/>
          <w:numId w:val="4"/>
        </w:numPr>
        <w:spacing w:line="360" w:lineRule="auto"/>
        <w:jc w:val="both"/>
        <w:rPr>
          <w:rFonts w:ascii="David" w:hAnsi="David" w:cs="David"/>
          <w:sz w:val="24"/>
          <w:szCs w:val="24"/>
        </w:rPr>
      </w:pPr>
      <w:r>
        <w:rPr>
          <w:rFonts w:ascii="David" w:hAnsi="David" w:cs="David"/>
          <w:sz w:val="24"/>
          <w:szCs w:val="24"/>
          <w:rtl/>
        </w:rPr>
        <w:t>בית המשפט קמא שגה בקביעתו כי גם לו היה מדובר ב</w:t>
      </w:r>
      <w:r>
        <w:rPr>
          <w:rFonts w:ascii="David" w:hAnsi="David" w:cs="David"/>
          <w:b/>
          <w:bCs/>
          <w:sz w:val="24"/>
          <w:szCs w:val="24"/>
          <w:rtl/>
        </w:rPr>
        <w:t>הסדר של "יורש אחר יורש"</w:t>
      </w:r>
      <w:r>
        <w:rPr>
          <w:rFonts w:ascii="David" w:hAnsi="David" w:cs="David"/>
          <w:sz w:val="24"/>
          <w:szCs w:val="24"/>
          <w:rtl/>
        </w:rPr>
        <w:t>, לא היה בכך כדי למנוע את ההעברה. עת ניתנו הוראות ליורש הראשון, האם לא הייתה רשאית לרוקן את העיזבון ולהעביר את הנכסים שירשה כאוות נפשה.</w:t>
      </w:r>
    </w:p>
    <w:p w:rsidR="00C33042" w:rsidRDefault="00C33042" w:rsidP="00C33042">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שגה בית המשפט קמא בקבעו כי </w:t>
      </w:r>
      <w:r>
        <w:rPr>
          <w:rFonts w:ascii="David" w:hAnsi="David" w:cs="David"/>
          <w:b/>
          <w:bCs/>
          <w:sz w:val="24"/>
          <w:szCs w:val="24"/>
          <w:rtl/>
        </w:rPr>
        <w:t>העברת הזכויות במבנה התעשייה</w:t>
      </w:r>
      <w:r>
        <w:rPr>
          <w:rFonts w:ascii="David" w:hAnsi="David" w:cs="David"/>
          <w:sz w:val="24"/>
          <w:szCs w:val="24"/>
          <w:rtl/>
        </w:rPr>
        <w:t xml:space="preserve"> ע"ש המערער, מחזקת את המסקנה שלא נפל דופי בהעברת הזכויות ע"ש האחיות. פעולת האם מעידה כי הייתה מחויבת להוראות הצוואה המשותפת, ולכך שנכס זה מיועד למערער לאחר פטירתה, ואינה רשאית לעשות בו כרצונה.</w:t>
      </w:r>
    </w:p>
    <w:p w:rsidR="00C33042" w:rsidRDefault="00C33042" w:rsidP="00C33042">
      <w:pPr>
        <w:pStyle w:val="ad"/>
        <w:numPr>
          <w:ilvl w:val="0"/>
          <w:numId w:val="4"/>
        </w:numPr>
        <w:spacing w:line="360" w:lineRule="auto"/>
        <w:jc w:val="both"/>
        <w:rPr>
          <w:rFonts w:ascii="David" w:hAnsi="David" w:cs="David"/>
          <w:sz w:val="24"/>
          <w:szCs w:val="24"/>
        </w:rPr>
      </w:pPr>
      <w:r>
        <w:rPr>
          <w:rFonts w:ascii="David" w:hAnsi="David" w:cs="David"/>
          <w:sz w:val="24"/>
          <w:szCs w:val="24"/>
          <w:rtl/>
        </w:rPr>
        <w:t>אם תיוותר על כנה קביעת בית המשפט קמא כי מדובר</w:t>
      </w:r>
      <w:r>
        <w:rPr>
          <w:rFonts w:ascii="David" w:hAnsi="David" w:cs="David"/>
          <w:b/>
          <w:bCs/>
          <w:sz w:val="24"/>
          <w:szCs w:val="24"/>
          <w:rtl/>
        </w:rPr>
        <w:t xml:space="preserve"> </w:t>
      </w:r>
      <w:r>
        <w:rPr>
          <w:rFonts w:ascii="David" w:hAnsi="David" w:cs="David"/>
          <w:sz w:val="24"/>
          <w:szCs w:val="24"/>
          <w:rtl/>
        </w:rPr>
        <w:t>ב</w:t>
      </w:r>
      <w:r>
        <w:rPr>
          <w:rFonts w:ascii="David" w:hAnsi="David" w:cs="David"/>
          <w:b/>
          <w:bCs/>
          <w:sz w:val="24"/>
          <w:szCs w:val="24"/>
          <w:rtl/>
        </w:rPr>
        <w:t>הסדר של "יורש במקום יורש"</w:t>
      </w:r>
      <w:r>
        <w:rPr>
          <w:rFonts w:ascii="David" w:hAnsi="David" w:cs="David"/>
          <w:sz w:val="24"/>
          <w:szCs w:val="24"/>
          <w:rtl/>
        </w:rPr>
        <w:t xml:space="preserve">, </w:t>
      </w:r>
      <w:r>
        <w:rPr>
          <w:rFonts w:ascii="David" w:hAnsi="David" w:cs="David"/>
          <w:b/>
          <w:bCs/>
          <w:sz w:val="24"/>
          <w:szCs w:val="24"/>
          <w:rtl/>
        </w:rPr>
        <w:t>אין בכך כדי להכריע לחובת המערער</w:t>
      </w:r>
      <w:r>
        <w:rPr>
          <w:rFonts w:ascii="David" w:hAnsi="David" w:cs="David"/>
          <w:sz w:val="24"/>
          <w:szCs w:val="24"/>
          <w:rtl/>
        </w:rPr>
        <w:t xml:space="preserve"> שכן ההעברה ללא תמורה שבוצעה מהאם לאחיות, </w:t>
      </w:r>
      <w:r>
        <w:rPr>
          <w:rFonts w:ascii="David" w:hAnsi="David" w:cs="David"/>
          <w:sz w:val="24"/>
          <w:szCs w:val="24"/>
          <w:rtl/>
        </w:rPr>
        <w:lastRenderedPageBreak/>
        <w:t xml:space="preserve">בו-ביום שבו נרשמו זכויות האם בדירה מכוח צו קיום הצוואה שהוצא לאחר 24 שנים מפטירת המנוח, עומדת </w:t>
      </w:r>
      <w:r>
        <w:rPr>
          <w:rFonts w:ascii="David" w:hAnsi="David" w:cs="David"/>
          <w:b/>
          <w:bCs/>
          <w:sz w:val="24"/>
          <w:szCs w:val="24"/>
          <w:rtl/>
        </w:rPr>
        <w:t>בניגוד להוראת הצדדים, כוונתם והסתמכותם</w:t>
      </w:r>
      <w:r>
        <w:rPr>
          <w:rFonts w:ascii="David" w:hAnsi="David" w:cs="David"/>
          <w:sz w:val="24"/>
          <w:szCs w:val="24"/>
          <w:rtl/>
        </w:rPr>
        <w:t xml:space="preserve"> בצוואה ההדדית.</w:t>
      </w:r>
    </w:p>
    <w:p w:rsidR="00C33042" w:rsidRDefault="00C33042" w:rsidP="00C33042">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שגה בית המשפט קמא בקבעו כי לאור מסקנתו כי מדובר בהסדר של יורש במקום יורש, </w:t>
      </w:r>
      <w:r>
        <w:rPr>
          <w:rFonts w:ascii="David" w:hAnsi="David" w:cs="David"/>
          <w:b/>
          <w:bCs/>
          <w:sz w:val="24"/>
          <w:szCs w:val="24"/>
          <w:rtl/>
        </w:rPr>
        <w:t>מתייתר הצורך להידרש לשאלה אם מדובר בצוואה הדדית אם לאו</w:t>
      </w:r>
      <w:r>
        <w:rPr>
          <w:rFonts w:ascii="David" w:hAnsi="David" w:cs="David"/>
          <w:sz w:val="24"/>
          <w:szCs w:val="24"/>
          <w:rtl/>
        </w:rPr>
        <w:t xml:space="preserve">. יש רלוונטיות לשאלת </w:t>
      </w:r>
      <w:r>
        <w:rPr>
          <w:rFonts w:ascii="David" w:hAnsi="David" w:cs="David"/>
          <w:b/>
          <w:bCs/>
          <w:sz w:val="24"/>
          <w:szCs w:val="24"/>
          <w:rtl/>
        </w:rPr>
        <w:t>מאפייני הצוואה ולשונה</w:t>
      </w:r>
      <w:r>
        <w:rPr>
          <w:rFonts w:ascii="David" w:hAnsi="David" w:cs="David"/>
          <w:sz w:val="24"/>
          <w:szCs w:val="24"/>
          <w:rtl/>
        </w:rPr>
        <w:t xml:space="preserve"> ואם </w:t>
      </w:r>
      <w:r>
        <w:rPr>
          <w:rFonts w:ascii="David" w:hAnsi="David" w:cs="David"/>
          <w:b/>
          <w:bCs/>
          <w:sz w:val="24"/>
          <w:szCs w:val="24"/>
          <w:rtl/>
        </w:rPr>
        <w:t xml:space="preserve">נסיבותיה </w:t>
      </w:r>
      <w:r>
        <w:rPr>
          <w:rFonts w:ascii="David" w:hAnsi="David" w:cs="David"/>
          <w:sz w:val="24"/>
          <w:szCs w:val="24"/>
          <w:rtl/>
        </w:rPr>
        <w:t xml:space="preserve">מטילות מגבלות על ההעברה ללא תמורה שבוצעה. לפיכך, יש לדון גם בשאלת ההדדיות של הצוואה שכן צוואה הדדית (גם אם נערכה לפני התיקון, כבענייננו) משקפת את הסתמכות ותום ליבם של הצדדים לעריכתה. הצדדים לצוואה קבעו במפורש כי היא </w:t>
      </w:r>
      <w:r>
        <w:rPr>
          <w:rFonts w:ascii="David" w:hAnsi="David" w:cs="David"/>
          <w:b/>
          <w:bCs/>
          <w:sz w:val="24"/>
          <w:szCs w:val="24"/>
          <w:rtl/>
        </w:rPr>
        <w:t>בלתי חוזרת</w:t>
      </w:r>
      <w:r>
        <w:rPr>
          <w:rFonts w:ascii="David" w:hAnsi="David" w:cs="David"/>
          <w:sz w:val="24"/>
          <w:szCs w:val="24"/>
          <w:rtl/>
        </w:rPr>
        <w:t>, כלומר: ראו בצוואתם הסכם מחייב שלא ניתן לחזור ממנו.</w:t>
      </w:r>
    </w:p>
    <w:p w:rsidR="00C33042" w:rsidRDefault="00C33042" w:rsidP="00C33042">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במועד ביצוע ההעברה ללא תמורה, הייתה האם, אישה לא משכילה, כבת 90 שנה. שתי הצוואות המאוחרות, הנטענות על ידי המשיבות, מלמדות כי האם ראתה עצמה </w:t>
      </w:r>
      <w:r>
        <w:rPr>
          <w:rFonts w:ascii="David" w:hAnsi="David" w:cs="David"/>
          <w:b/>
          <w:bCs/>
          <w:sz w:val="24"/>
          <w:szCs w:val="24"/>
          <w:rtl/>
        </w:rPr>
        <w:t>מודעת ומחויבת</w:t>
      </w:r>
      <w:r>
        <w:rPr>
          <w:rFonts w:ascii="David" w:hAnsi="David" w:cs="David"/>
          <w:sz w:val="24"/>
          <w:szCs w:val="24"/>
          <w:rtl/>
        </w:rPr>
        <w:t xml:space="preserve"> להוראות הצוואה המשותפת, ולכן מצאה לנכון לנמק את סטייתה מהן בצוואות המאוחרות. </w:t>
      </w:r>
    </w:p>
    <w:p w:rsidR="00C33042" w:rsidRDefault="00C33042" w:rsidP="00C33042">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ההעברה ללא תמורה עומדת </w:t>
      </w:r>
      <w:r>
        <w:rPr>
          <w:rFonts w:ascii="David" w:hAnsi="David" w:cs="David"/>
          <w:b/>
          <w:bCs/>
          <w:sz w:val="24"/>
          <w:szCs w:val="24"/>
          <w:rtl/>
        </w:rPr>
        <w:t>בניגוד להוראות ולתכלית של סעיף 8(ב) לחוק הירושה</w:t>
      </w:r>
      <w:r>
        <w:rPr>
          <w:rFonts w:ascii="David" w:hAnsi="David" w:cs="David"/>
          <w:sz w:val="24"/>
          <w:szCs w:val="24"/>
          <w:rtl/>
        </w:rPr>
        <w:t xml:space="preserve">, ולכן אינה בת תוקף. העובדות, עדויות המשיבות והימנעותן מהבאת ראיות שברשותן (הסכם ההעברה ללא תמורה, המצוי בשליטת המשיבות, לא הוצג לבית המשפט קמא; והימנעותן מעדות האם), מעידות בבירור כי בענייננו מדובר במתנה שנועדה להיות מוקנית לאחיות רק לאחר פטירת האם אחרי אריכות ימיה ושנותיה. הבעלות בדירה נרשמה אמנם ע"ש האחיות ללא תמורה, אך הבעלות הקניינית נותרה בפועל במלואה וכמקודם, בידי האם שלה הזכות המלאה אז והיום להחזיק במקרקעין, להשתמש בהם ולעשות בהם כל דבר. עובדה זו, יחד עם סמיכות הזמנים בין מועד אישור הצוואה למועד העברת הזכויות בדירה לאחיות ללא תמורה, והסתרת ההעברה ללא תמורה מאת המערער וגילויה </w:t>
      </w:r>
      <w:r>
        <w:rPr>
          <w:rFonts w:ascii="David" w:hAnsi="David" w:cs="David"/>
          <w:b/>
          <w:bCs/>
          <w:sz w:val="24"/>
          <w:szCs w:val="24"/>
          <w:rtl/>
        </w:rPr>
        <w:t xml:space="preserve">בדרך אקראי </w:t>
      </w:r>
      <w:r>
        <w:rPr>
          <w:rFonts w:ascii="David" w:hAnsi="David" w:cs="David"/>
          <w:sz w:val="24"/>
          <w:szCs w:val="24"/>
          <w:rtl/>
        </w:rPr>
        <w:t xml:space="preserve">סמוך למועד הגשת כתב התביעה לבית המשפט קמא, מעידות כי מכירת הדירה ללא תמורה נועדה כדי </w:t>
      </w:r>
      <w:r>
        <w:rPr>
          <w:rFonts w:ascii="David" w:hAnsi="David" w:cs="David"/>
          <w:b/>
          <w:bCs/>
          <w:sz w:val="24"/>
          <w:szCs w:val="24"/>
          <w:rtl/>
        </w:rPr>
        <w:t>לעקוף את הצוואה המשותפת ואת הוראות חוק הירושה</w:t>
      </w:r>
      <w:r>
        <w:rPr>
          <w:rFonts w:ascii="David" w:hAnsi="David" w:cs="David"/>
          <w:sz w:val="24"/>
          <w:szCs w:val="24"/>
          <w:rtl/>
        </w:rPr>
        <w:t>.</w:t>
      </w:r>
    </w:p>
    <w:p w:rsidR="00C33042" w:rsidRDefault="00C33042" w:rsidP="00C33042">
      <w:pPr>
        <w:pStyle w:val="ad"/>
        <w:numPr>
          <w:ilvl w:val="0"/>
          <w:numId w:val="4"/>
        </w:numPr>
        <w:spacing w:line="360" w:lineRule="auto"/>
        <w:jc w:val="both"/>
        <w:rPr>
          <w:rFonts w:ascii="David" w:hAnsi="David" w:cs="David"/>
          <w:sz w:val="24"/>
          <w:szCs w:val="24"/>
        </w:rPr>
      </w:pPr>
      <w:r>
        <w:rPr>
          <w:rFonts w:ascii="David" w:hAnsi="David" w:cs="David"/>
          <w:sz w:val="24"/>
          <w:szCs w:val="24"/>
          <w:rtl/>
        </w:rPr>
        <w:t>לפיכך, יש לקבל את הערעור, לקבוע כי העברת הזכויות בדירה ללא תמורה מהאם לאחיות, בוצעה שלא כדין, ולחייב את המשיבות, יחד ולחוד, בהוצאות ובשכ"ט עו"ד ומע"מ בשתי הערכאות.</w:t>
      </w:r>
    </w:p>
    <w:p w:rsidR="00C33042" w:rsidRDefault="00C33042" w:rsidP="00C33042">
      <w:pPr>
        <w:pStyle w:val="ad"/>
        <w:spacing w:line="360" w:lineRule="auto"/>
        <w:ind w:left="728"/>
        <w:jc w:val="both"/>
        <w:rPr>
          <w:rFonts w:ascii="David" w:hAnsi="David" w:cs="David"/>
          <w:sz w:val="24"/>
          <w:szCs w:val="24"/>
        </w:rPr>
      </w:pPr>
    </w:p>
    <w:p w:rsidR="00C33042" w:rsidRDefault="00C33042" w:rsidP="00C33042">
      <w:pPr>
        <w:pStyle w:val="ad"/>
        <w:numPr>
          <w:ilvl w:val="0"/>
          <w:numId w:val="1"/>
        </w:numPr>
        <w:spacing w:line="360" w:lineRule="auto"/>
        <w:ind w:left="368" w:hanging="426"/>
        <w:jc w:val="both"/>
        <w:rPr>
          <w:rFonts w:ascii="David" w:hAnsi="David" w:cs="David"/>
          <w:b/>
          <w:bCs/>
          <w:sz w:val="24"/>
          <w:szCs w:val="24"/>
        </w:rPr>
      </w:pPr>
      <w:r>
        <w:rPr>
          <w:rFonts w:ascii="David" w:hAnsi="David" w:cs="David"/>
          <w:b/>
          <w:bCs/>
          <w:sz w:val="24"/>
          <w:szCs w:val="24"/>
          <w:u w:val="single"/>
          <w:rtl/>
        </w:rPr>
        <w:t>המשיבות טענו בתשובתן לכתב הערעור את הטענות הבאות</w:t>
      </w:r>
      <w:r>
        <w:rPr>
          <w:rFonts w:ascii="David" w:hAnsi="David" w:cs="David"/>
          <w:b/>
          <w:bCs/>
          <w:sz w:val="24"/>
          <w:szCs w:val="24"/>
          <w:rtl/>
        </w:rPr>
        <w:t>:</w:t>
      </w:r>
    </w:p>
    <w:p w:rsidR="00C33042" w:rsidRDefault="00C33042" w:rsidP="00C33042">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צדק בית המשפט קמא בקבעו כי בנסיבות העניין, </w:t>
      </w:r>
      <w:r>
        <w:rPr>
          <w:rFonts w:ascii="David" w:hAnsi="David" w:cs="David"/>
          <w:b/>
          <w:bCs/>
          <w:sz w:val="24"/>
          <w:szCs w:val="24"/>
          <w:rtl/>
        </w:rPr>
        <w:t>מדובר במתנה שניתנה לאלתר, כי עסקת המתנה הושלמה עם הרישום בטאבו, וכי האם הייתה רשאית להמשיך להתגורר בדירה על פי הסכמי השכירות שנחתמו</w:t>
      </w:r>
      <w:r>
        <w:rPr>
          <w:rFonts w:ascii="David" w:hAnsi="David" w:cs="David"/>
          <w:sz w:val="24"/>
          <w:szCs w:val="24"/>
          <w:rtl/>
        </w:rPr>
        <w:t xml:space="preserve">. עסקת המתנה </w:t>
      </w:r>
      <w:r>
        <w:rPr>
          <w:rFonts w:ascii="David" w:hAnsi="David" w:cs="David"/>
          <w:b/>
          <w:bCs/>
          <w:sz w:val="24"/>
          <w:szCs w:val="24"/>
          <w:rtl/>
        </w:rPr>
        <w:t>אינה בטלה לפי סעיף 8 (ב) לחוק הירושה</w:t>
      </w:r>
      <w:r>
        <w:rPr>
          <w:rFonts w:ascii="David" w:hAnsi="David" w:cs="David"/>
          <w:sz w:val="24"/>
          <w:szCs w:val="24"/>
          <w:rtl/>
        </w:rPr>
        <w:t xml:space="preserve">. הפסיקה עליה הסתמך המערער, דנה במקרים בהם לנותן המתנה נותרו זכויות קנייניות מהותיות בנכס עד כדי כך שנותן המתנה היה רשאי לבטל המתנה בעל עת, למכור </w:t>
      </w:r>
      <w:r>
        <w:rPr>
          <w:rFonts w:ascii="David" w:hAnsi="David" w:cs="David"/>
          <w:sz w:val="24"/>
          <w:szCs w:val="24"/>
          <w:rtl/>
        </w:rPr>
        <w:lastRenderedPageBreak/>
        <w:t>הנכס או הנותן היה מעורער בנפשו כשנתן את המתנה. אולם, בענייננו, מדובר בפעולה שאינה ירושה, ולכן ההעברה בחיים של הנכס היא זכותה של הנותנת.</w:t>
      </w:r>
    </w:p>
    <w:p w:rsidR="00C33042" w:rsidRDefault="00C33042" w:rsidP="00C33042">
      <w:pPr>
        <w:pStyle w:val="ad"/>
        <w:numPr>
          <w:ilvl w:val="0"/>
          <w:numId w:val="5"/>
        </w:numPr>
        <w:spacing w:line="360" w:lineRule="auto"/>
        <w:jc w:val="both"/>
        <w:rPr>
          <w:rFonts w:ascii="David" w:hAnsi="David" w:cs="David"/>
          <w:sz w:val="24"/>
          <w:szCs w:val="24"/>
        </w:rPr>
      </w:pPr>
      <w:r>
        <w:rPr>
          <w:rFonts w:ascii="David" w:hAnsi="David" w:cs="David"/>
          <w:b/>
          <w:bCs/>
          <w:sz w:val="24"/>
          <w:szCs w:val="24"/>
          <w:rtl/>
        </w:rPr>
        <w:t>יש לדחות את טענת המערער לפיה, הצוואה משנת 1988 הינה צוואה הדדית, ולכן חל עקרון ההסתמכות</w:t>
      </w:r>
      <w:r>
        <w:rPr>
          <w:rFonts w:ascii="David" w:hAnsi="David" w:cs="David"/>
          <w:sz w:val="24"/>
          <w:szCs w:val="24"/>
          <w:rtl/>
        </w:rPr>
        <w:t>. הצוואה נערכה בשנת 1988 בעוד שסעיף 8א. לחוק הירושה נחקק רק בשנת 2000. צוואה הדדית אינה מונעת העברת נכס המוזכר בה בהיות המצווה עדיין בחיים. סעיף 42 לחוק הירושה שכותרתו יורש אחר יורש מונע רק הורשה, ואין בענייננו כל כוונה אחרת משתמעת, אלא מדובר בהעברה אמיתית ומיידית. צוואה משותפת שאינה הדדית, אינה כוללת כל אינטרס הסתמכות.</w:t>
      </w:r>
    </w:p>
    <w:p w:rsidR="00C33042" w:rsidRDefault="00C33042" w:rsidP="00C33042">
      <w:pPr>
        <w:pStyle w:val="ad"/>
        <w:numPr>
          <w:ilvl w:val="0"/>
          <w:numId w:val="5"/>
        </w:numPr>
        <w:spacing w:line="360" w:lineRule="auto"/>
        <w:jc w:val="both"/>
        <w:rPr>
          <w:rFonts w:ascii="David" w:hAnsi="David" w:cs="David"/>
          <w:sz w:val="24"/>
          <w:szCs w:val="24"/>
        </w:rPr>
      </w:pPr>
      <w:r>
        <w:rPr>
          <w:rFonts w:ascii="David" w:hAnsi="David" w:cs="David"/>
          <w:b/>
          <w:bCs/>
          <w:sz w:val="24"/>
          <w:szCs w:val="24"/>
          <w:rtl/>
        </w:rPr>
        <w:t>באשר לטענת המערער כי מדובר בהסדר "יורש אחר יורש" שחלה לגביו הגבלת סעיף 53 לחוק הירושה</w:t>
      </w:r>
      <w:r>
        <w:rPr>
          <w:rFonts w:ascii="David" w:hAnsi="David" w:cs="David"/>
          <w:sz w:val="24"/>
          <w:szCs w:val="24"/>
          <w:rtl/>
        </w:rPr>
        <w:t>, הרי שההגבלות בנוגע לעיזבון שנקבעו בסעיף 53 לחוק הירושה, אינן רלוונטיות לענייננו שכן אין בצוואה הוראות המגבילות את זכותו של הצד שנותר בחיים, לחלק העיזבון בצורה שתיראה לצד שנותר בחיים עוד בחייו. המערער קיבל בימי חיי האם ולאחר פטירת המנוח, מבנה תעשיה המוזכר בצוואה, והאם בהיותה כשירה בעת עריכת שתי צוואות חדשות, הסבירה הסיבות לפעולה זו. עו"ד קדוש שערך את הצוואה משנת 1988, וכן את הצוואה משנת 1992 (ולא זומן לעדות; מה שפועל לחובת המערער), לא ניסח את הצוואה המאוחרת בהתאם לעקרון ההסתמכות, והמערער לא מחה בפני אף גורם על העברת הדירה לאחיות שכן ידע כי הוראה זו ניתנה בשל העברת מבנה התעשייה אליו.</w:t>
      </w:r>
    </w:p>
    <w:p w:rsidR="00C33042" w:rsidRDefault="00C33042" w:rsidP="00C33042">
      <w:pPr>
        <w:pStyle w:val="ad"/>
        <w:numPr>
          <w:ilvl w:val="0"/>
          <w:numId w:val="5"/>
        </w:numPr>
        <w:spacing w:line="360" w:lineRule="auto"/>
        <w:jc w:val="both"/>
        <w:rPr>
          <w:rFonts w:ascii="David" w:hAnsi="David" w:cs="David"/>
          <w:sz w:val="24"/>
          <w:szCs w:val="24"/>
        </w:rPr>
      </w:pPr>
      <w:r>
        <w:rPr>
          <w:rFonts w:ascii="David" w:hAnsi="David" w:cs="David"/>
          <w:b/>
          <w:bCs/>
          <w:sz w:val="24"/>
          <w:szCs w:val="24"/>
          <w:rtl/>
        </w:rPr>
        <w:t xml:space="preserve">יש לדחות את טענת המערער כי על פי סעיף 5 לצוואה, מדובר בהתחייבות בלתי חוזרת. </w:t>
      </w:r>
      <w:r>
        <w:rPr>
          <w:rFonts w:ascii="David" w:hAnsi="David" w:cs="David"/>
          <w:sz w:val="24"/>
          <w:szCs w:val="24"/>
          <w:rtl/>
        </w:rPr>
        <w:t>הפסיקה קבעה כי לא ניתן להגביל אדם מלערוך צוואה חדשה אם רצונו בכך, וכי אין להחיל את סעיף 8א. לחוק הירושה באופן רטרואקטיבי על צוואות שנחקקו לפניו, לרבות לגבי עקרון ההסתמכות.</w:t>
      </w:r>
    </w:p>
    <w:p w:rsidR="00C33042" w:rsidRDefault="00C33042" w:rsidP="00C33042">
      <w:pPr>
        <w:pStyle w:val="ad"/>
        <w:numPr>
          <w:ilvl w:val="0"/>
          <w:numId w:val="5"/>
        </w:numPr>
        <w:spacing w:line="360" w:lineRule="auto"/>
        <w:jc w:val="both"/>
        <w:rPr>
          <w:rFonts w:ascii="David" w:hAnsi="David" w:cs="David"/>
          <w:sz w:val="24"/>
          <w:szCs w:val="24"/>
        </w:rPr>
      </w:pPr>
      <w:r>
        <w:rPr>
          <w:rFonts w:ascii="David" w:hAnsi="David" w:cs="David"/>
          <w:b/>
          <w:bCs/>
          <w:sz w:val="24"/>
          <w:szCs w:val="24"/>
          <w:rtl/>
        </w:rPr>
        <w:t>צדק בית המשפט קמא בקבעו כי גם בשתי החלופות של "יורש אחר יורש" ושל "יורש במקום יורש", לא ניתן לבטל את העברת הזכויות בדירה.</w:t>
      </w:r>
    </w:p>
    <w:p w:rsidR="00C33042" w:rsidRDefault="00C33042" w:rsidP="00C33042">
      <w:pPr>
        <w:pStyle w:val="ad"/>
        <w:numPr>
          <w:ilvl w:val="0"/>
          <w:numId w:val="5"/>
        </w:numPr>
        <w:spacing w:line="360" w:lineRule="auto"/>
        <w:jc w:val="both"/>
        <w:rPr>
          <w:rFonts w:ascii="David" w:hAnsi="David" w:cs="David"/>
          <w:sz w:val="24"/>
          <w:szCs w:val="24"/>
        </w:rPr>
      </w:pPr>
      <w:r>
        <w:rPr>
          <w:rFonts w:ascii="David" w:hAnsi="David" w:cs="David"/>
          <w:b/>
          <w:bCs/>
          <w:sz w:val="24"/>
          <w:szCs w:val="24"/>
          <w:rtl/>
        </w:rPr>
        <w:t>יש לפרש את אי העדת האם כנגד המערער, ולא כנגד המשיבות</w:t>
      </w:r>
      <w:r>
        <w:rPr>
          <w:rFonts w:ascii="David" w:hAnsi="David" w:cs="David"/>
          <w:sz w:val="24"/>
          <w:szCs w:val="24"/>
          <w:rtl/>
        </w:rPr>
        <w:t>. בעוד שלמשיבות יש הסבר הגיוני לאי העדת האם בת ה- 96 (מחשבה על הסבל שייגרם לה; מצב פיזי קשה ומצב מנטלי קוגניטיבי המונע ממנה להעיד), הרי שלמערער אין כל הסבר לכך שכן לטענתו, האם כשרה להעיד.</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במהלך הדיון בערעור שהתקיים ביום 30.1.23, מסר בית המשפט הצעה לצדדים לפיה, יירשמו לטובת המערער זכויות בשיעור 1/12 בדירה בעוד שיתר קביעות בית המשפט קמא יעמדו בעינן. ב"כ המערער הסכימה להצעה וביקשה שבית המשפט יורה על החזר הוצאות. בהחלטתנו בתום הדיון, קבענו כי ככל שלא תהיה הסכמה מצד ב"כ המשיבות להצעה זו, יינתן על ידינו פסק דין במסגרת הערעור, וזאת על יסוד החומר הקיים. לאור בקשת ב"כ המשיבות מיום 30.1.23 כי בית המשפט יכריע בערעור בהתאם להחלטה מיום 30.1.23,  הגיעה העת למתן פסק דין בערעור.</w:t>
      </w:r>
    </w:p>
    <w:p w:rsidR="00C33042" w:rsidRDefault="00C33042" w:rsidP="00C33042">
      <w:pPr>
        <w:spacing w:line="360" w:lineRule="auto"/>
        <w:ind w:hanging="57"/>
        <w:jc w:val="both"/>
        <w:rPr>
          <w:rFonts w:ascii="David" w:hAnsi="David"/>
          <w:b/>
          <w:bCs/>
          <w:sz w:val="28"/>
          <w:szCs w:val="28"/>
          <w:u w:val="single"/>
        </w:rPr>
      </w:pPr>
      <w:r>
        <w:rPr>
          <w:rFonts w:ascii="David" w:hAnsi="David"/>
          <w:b/>
          <w:bCs/>
          <w:sz w:val="28"/>
          <w:szCs w:val="28"/>
          <w:u w:val="single"/>
          <w:rtl/>
        </w:rPr>
        <w:lastRenderedPageBreak/>
        <w:t>דיון והכרעה</w:t>
      </w:r>
      <w:r>
        <w:rPr>
          <w:rFonts w:ascii="David" w:hAnsi="David"/>
          <w:b/>
          <w:bCs/>
          <w:sz w:val="28"/>
          <w:szCs w:val="28"/>
          <w:rtl/>
        </w:rPr>
        <w:t>:</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לאחר ששקלנו את טיעוני הצדדים בערעור ובכתב התשובה, שוכנענו כי דין הערעור להידחות, וכי יש לאשר את פסק דינו של בית המשפט קמא לפי סעיף 148 (ב) לתקנות סדר הדין האזרחי, התשע"ט-2018.</w:t>
      </w:r>
    </w:p>
    <w:p w:rsidR="00C33042" w:rsidRDefault="00C33042" w:rsidP="00C33042">
      <w:pPr>
        <w:pStyle w:val="ad"/>
        <w:numPr>
          <w:ilvl w:val="0"/>
          <w:numId w:val="1"/>
        </w:numPr>
        <w:spacing w:line="360" w:lineRule="auto"/>
        <w:ind w:left="368" w:hanging="426"/>
        <w:jc w:val="both"/>
        <w:rPr>
          <w:rFonts w:ascii="David" w:hAnsi="David" w:cs="David"/>
        </w:rPr>
      </w:pPr>
      <w:r>
        <w:rPr>
          <w:rFonts w:ascii="David" w:hAnsi="David" w:cs="David"/>
          <w:sz w:val="24"/>
          <w:szCs w:val="24"/>
          <w:rtl/>
        </w:rPr>
        <w:t xml:space="preserve">כמו בית המשפט קמא, אף אנו סבורים כי ההסדר שקבעו המנוח והאם בצוואה, אינו הסדר של "יורש אחר יורש" עליו חולשת הוראת סעיף 42 לחוק הירושה, התשכ"ה-1965. צודק בית המשפט קמא בקביעתו כי בסעיף 2א' לצוואה, קבע האב המנוח כי יורשתו היא האם, וכי אין בצוואה המשותפת כל התייחסות ליורש שיבוא אחר האם, במקרה בו האם היא היורשת. </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לפיכך, משירשה האם את עיזבון האב המנוח על פי הצוואה, ולא התקיים התנאי שבסעיף 2ג' לצוואה, רשאית הייתה האם לעשות בעיזבון האב המנוח כרצונה, ובכלל זה, להעביר את הדירה בחייה לבנותיה.</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המערער טוען בטיעוניו כי הצדדים לצוואה קבעו מנגנון של יורש </w:t>
      </w:r>
      <w:r>
        <w:rPr>
          <w:rFonts w:ascii="David" w:hAnsi="David" w:cs="David"/>
          <w:sz w:val="24"/>
          <w:szCs w:val="24"/>
          <w:u w:val="single"/>
          <w:rtl/>
        </w:rPr>
        <w:t>אחר</w:t>
      </w:r>
      <w:r>
        <w:rPr>
          <w:rFonts w:ascii="David" w:hAnsi="David" w:cs="David"/>
          <w:sz w:val="24"/>
          <w:szCs w:val="24"/>
          <w:rtl/>
        </w:rPr>
        <w:t xml:space="preserve"> יורש לפי סעיף 42 לחוק הירושה שאם לא כן, אין משמעות לסיפא של סעיף 2ג' לצוואה המתייחס לנסיבות שבהן בני הזוג ימותו </w:t>
      </w:r>
      <w:r>
        <w:rPr>
          <w:rFonts w:ascii="David" w:hAnsi="David" w:cs="David"/>
          <w:b/>
          <w:bCs/>
          <w:sz w:val="24"/>
          <w:szCs w:val="24"/>
          <w:rtl/>
        </w:rPr>
        <w:t>בזמנים שונים</w:t>
      </w:r>
      <w:r>
        <w:rPr>
          <w:rFonts w:ascii="David" w:hAnsi="David" w:cs="David"/>
          <w:sz w:val="24"/>
          <w:szCs w:val="24"/>
          <w:rtl/>
        </w:rPr>
        <w:t>. לטענתו, סיטואציה זו יכולה להתרחש רק אחרי שהיורש הראשון זוכה, ועל כן ההוראה שבסעיף 2 ג' הינה הוראה של מי שירש לאחר מותו של היורש הראשון, קרי: יורש אחר יורש.</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טענה זו שובת לב היא, במבט ראשון, ואולם אין בידינו לקבלה.  </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סעיף 2ג' לצוואה נועד לחול רק בנסיבות שבהן שני בני הזוג מצאו את מותם </w:t>
      </w:r>
      <w:r>
        <w:rPr>
          <w:rFonts w:ascii="David" w:hAnsi="David" w:cs="David"/>
          <w:b/>
          <w:bCs/>
          <w:sz w:val="24"/>
          <w:szCs w:val="24"/>
          <w:rtl/>
        </w:rPr>
        <w:t>באותו אירוע</w:t>
      </w:r>
      <w:r>
        <w:rPr>
          <w:rFonts w:ascii="David" w:hAnsi="David" w:cs="David"/>
          <w:sz w:val="24"/>
          <w:szCs w:val="24"/>
          <w:rtl/>
        </w:rPr>
        <w:t>, כאשר בשל אותו אירוע מתו יחדיו או שחל פער זמנים בין מועד פטירתם בשל אותו אירוע, שאז ורק אז, כאשר אף אחד מהם לא נותר בחיים, תימכר הדירה, ותמורתה תחולק, כאמור בסעיף 2ג' לצוואה. סעיף 2ג' לצוואה אינו עוסק בנסיבות שבהן שני בני הזוג ילכו לעולמם בשל אירועים שונים ובזמנים שונים, שאז חלות הוראות סעיפים 2א' ו- ב' כפשוטן.</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הוראת סעיף 2ג' לצוואה עוסקת בנסיבות מיוחדות וספציפיות שבהן יתרחש אירוע (למשל: תאונה) שבעטיו שני בני הזוג ימותו יחד, או שיחול פער זמנים במועד פטירתם בשל אותו אירוע, אך אף אחד מהם לא יוותר בחיים בשל אותו אירוע. בנסיבות מיוחדות שכאלו, בהן ממילא שני בני הזוג לא יוותרו בחיים, תימכר הדירה, ותמורתה תחולק, כאמור באותו סעיף. בכל מקרה אחר שבו ילכו בני הזוג לעולמם במועדים שונים ובשל אירועים שונים, יחולו כפשוטן הוראות סעיפים 2א' ו- ב' לצוואה. </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אילו ביקשו בני הזוג לקבוע בצוואה מנגנון של יורש אחר יורש, לא רק בנסיבות שבהן הלכו לעולמם בשל אותו אירוע, לא היו מדגישים בהוראת סעיף 2ג' לצוואה כי תחול רק בנסיבות שבהן "</w:t>
      </w:r>
      <w:r>
        <w:rPr>
          <w:rFonts w:ascii="David" w:hAnsi="David" w:cs="David"/>
          <w:b/>
          <w:bCs/>
          <w:sz w:val="24"/>
          <w:szCs w:val="24"/>
          <w:rtl/>
        </w:rPr>
        <w:t>אף אחד מאיתנו לא ישאר בחיים</w:t>
      </w:r>
      <w:r>
        <w:rPr>
          <w:rFonts w:ascii="David" w:hAnsi="David" w:cs="David"/>
          <w:sz w:val="24"/>
          <w:szCs w:val="24"/>
          <w:rtl/>
        </w:rPr>
        <w:t xml:space="preserve">", שהרי ממילא ההסדר של יורש </w:t>
      </w:r>
      <w:r>
        <w:rPr>
          <w:rFonts w:ascii="David" w:hAnsi="David" w:cs="David"/>
          <w:sz w:val="24"/>
          <w:szCs w:val="24"/>
          <w:u w:val="single"/>
          <w:rtl/>
        </w:rPr>
        <w:t>אחר</w:t>
      </w:r>
      <w:r>
        <w:rPr>
          <w:rFonts w:ascii="David" w:hAnsi="David" w:cs="David"/>
          <w:sz w:val="24"/>
          <w:szCs w:val="24"/>
          <w:rtl/>
        </w:rPr>
        <w:t xml:space="preserve"> יורש נועד לחול בנסיבות שבהן יזכה השני לאחר שיזכה הראשון. אף יש להניח כי אילו ביקשו האם והמנוח להכפיף את הוראות סעיפים 2א' ו- ב', בכל מקרה, להסדר שבסעיף 2ג', היה ניתן לעניין זה ביטוי מפורש בצוואה. </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lastRenderedPageBreak/>
        <w:t xml:space="preserve">כאמור, את ההסדר שבסעיף 2ג' לצוואה יש לפרש רק באופן שבו בשל אותו אירוע ימותו שני בני הזוג "יחד באותו זמן" או בפער זמנים באופן ששניהם לא יוותרו בחיים בשל אותו אירוע. רק במקרה כזה, כאשר שניהם אינם בין החיים, נולד הצורך לקבוע מנגנון באשר לאופן חלוקת עיזבונותיהם. בכל מקרה אחר שבו אחד מבני הזוג נותר בחיים, חלות ההוראות הברורות והפשוטות שבסעיפים 2א' ו- ב' להוראות הצוואה לפיהן, היורש הוא בן הזוג שנותר בחיים. </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לסיכום: בנסיבות המקרה שלפנינו, כאשר המנוח נפטר ראשון, והאם נותרה בחיים, חלות הוראות סעיף 2א' לצוואה לפיהן, האם היא היורשת, וכלל אין תחולה להוראת סעיף 2ג' לצוואה. כפועל יוצא מכך, קביעתו של בית המשפט קמא כי האם רשאית הייתה להעביר הדירה בחייה לבנותיה - נכונה. </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לאור התוצאה אליה הגענו בה דחינו את עמדת המערער כי הצוואה קובעת הסדר של יורש </w:t>
      </w:r>
      <w:r>
        <w:rPr>
          <w:rFonts w:ascii="David" w:hAnsi="David" w:cs="David"/>
          <w:b/>
          <w:bCs/>
          <w:sz w:val="24"/>
          <w:szCs w:val="24"/>
          <w:rtl/>
        </w:rPr>
        <w:t>אחר</w:t>
      </w:r>
      <w:r>
        <w:rPr>
          <w:rFonts w:ascii="David" w:hAnsi="David" w:cs="David"/>
          <w:sz w:val="24"/>
          <w:szCs w:val="24"/>
          <w:rtl/>
        </w:rPr>
        <w:t xml:space="preserve"> יורש, ולאור קביעתנו כי הוראת סעיף  2ג' לצוואה אינה רלוונטית לענייננו, אין לנו צורך לקבוע מסמרות בשאלה אם מדובר בצוואה הדדית, ואם יש להחיל בצוואה הדדית, בנסיבות של "יורש אחר יורש", את עקרון תום הלב/הסתמכות גם בנסיבות שבהן לא חל סעיף 8א' לחוק הירושה. נותיר ההכרעה בסוגיה זו לעת מצוא, כפי שעשה בית המשפט קמא.  </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ואולם, נסתפק בהערה כי לשיטה לפיה, בצוואה הדדית, הכוללת הסדר של יורש אחר יורש, שהוראת סעיף 8א' אינה חלה עליה,  רשאי בן הזוג שנותר בחיים לעשות ברכוש שקיבל מעיזבון בן זוגו ללא כל הגבלה, כל עוד לא הוטלה הגבלה שכזו בצוואה, יש תימוכין בפסיקה הקיימת. וראו: דעת הרוב בע"א 10807/03 </w:t>
      </w:r>
      <w:r>
        <w:rPr>
          <w:rFonts w:ascii="David" w:hAnsi="David" w:cs="David"/>
          <w:b/>
          <w:bCs/>
          <w:sz w:val="24"/>
          <w:szCs w:val="24"/>
          <w:rtl/>
        </w:rPr>
        <w:t>זמיר נ' גמליאל</w:t>
      </w:r>
      <w:r>
        <w:rPr>
          <w:rFonts w:ascii="David" w:hAnsi="David" w:cs="David"/>
          <w:sz w:val="24"/>
          <w:szCs w:val="24"/>
          <w:rtl/>
        </w:rPr>
        <w:t xml:space="preserve">, פ"ד סב(1) (2007); וכן דברי כב' השופט שילה בעמ"ש (מחוזי ת"א) 52719-06-20 </w:t>
      </w:r>
      <w:r>
        <w:rPr>
          <w:rFonts w:ascii="David" w:hAnsi="David" w:cs="David"/>
          <w:b/>
          <w:bCs/>
          <w:sz w:val="24"/>
          <w:szCs w:val="24"/>
          <w:rtl/>
        </w:rPr>
        <w:t>א' נ' ב'</w:t>
      </w:r>
      <w:r>
        <w:rPr>
          <w:rFonts w:ascii="David" w:hAnsi="David" w:cs="David"/>
          <w:sz w:val="24"/>
          <w:szCs w:val="24"/>
          <w:rtl/>
        </w:rPr>
        <w:t xml:space="preserve"> (נבו 2.3.2022).</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צודק בית המשפט קמא גם בהנמקתו כי לאור קביעתו שההעברה של הדירה לאחיות אינה נוגדת את הוראות הצוואה, מתייתר הצורך לבחון אם ההעברה נועדה לעקוף את הוראות הצוואה. </w:t>
      </w:r>
    </w:p>
    <w:p w:rsidR="00C33042" w:rsidRDefault="00C33042"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אף מקובלת עלינו קביעתו של בית המשפט קמא כי מדובר בנסיבות המקרה שלפנינו, במתנה גמורה, שהושלמה עם רישומה בלשכת רישום המקרקעין ביום 23.3.2014. אין מדובר במתנה שמועד הקנייתה הוא מועד פטירת האם, ולכן אין עסקינן בנסיבות שעליהן חולש סעיף 8(ב) לחוק הירושה העוסק במתנה שאדם נותן על מנת שתוקנה למקבל רק לאחר מותו של הנותן. גם אם המתנה הותנתה בזכות מגורים של האם בדירה, כל ימי חייה, אין בכך, כפי שקבע בית המשפט קמא, כדי לפגום בבעלות האחיות בדירה.</w:t>
      </w:r>
      <w:r>
        <w:rPr>
          <w:rFonts w:ascii="Arial" w:hAnsi="Arial"/>
          <w:rtl/>
        </w:rPr>
        <w:t xml:space="preserve"> </w:t>
      </w:r>
      <w:r>
        <w:rPr>
          <w:rFonts w:ascii="David" w:hAnsi="David" w:cs="David"/>
          <w:sz w:val="24"/>
          <w:szCs w:val="24"/>
          <w:rtl/>
        </w:rPr>
        <w:t xml:space="preserve">משהועברה הבעלות בדירה ע"ש האחיות, בלשכת רישום המקרקעין, אף לא ברורה לנו טענת המערער כי אי צירוף הסכם ההעברה ללא תמורה פועל לחובת האחיות. בית המשפט קמא אף נימק היטב את קביעתו לפיה, הימנעות האחיות מהעדתה של האם שהייתה אז בת 96, בשים לב למצבה הרפואי, אינו פועל לחובת האחיות. </w:t>
      </w:r>
    </w:p>
    <w:p w:rsidR="00C33042" w:rsidRDefault="00C33042" w:rsidP="00C33042">
      <w:pPr>
        <w:pStyle w:val="ad"/>
        <w:numPr>
          <w:ilvl w:val="0"/>
          <w:numId w:val="1"/>
        </w:numPr>
        <w:spacing w:line="360" w:lineRule="auto"/>
        <w:ind w:left="368" w:hanging="426"/>
        <w:jc w:val="both"/>
      </w:pPr>
      <w:r>
        <w:rPr>
          <w:rFonts w:ascii="David" w:hAnsi="David" w:cs="David"/>
          <w:sz w:val="24"/>
          <w:szCs w:val="24"/>
          <w:rtl/>
        </w:rPr>
        <w:t>צודק בית המשפט קמא אף בקביעתו כי הצוואות המאוחרות אינן מעידות על פיקטיביות עסקת המתנה, שכזכור, הושלמה ברישום, וכי אין בהן להשליך על פסק דינו של בית המשפט קמא.</w:t>
      </w:r>
    </w:p>
    <w:p w:rsidR="00C33042" w:rsidRDefault="001F65D3" w:rsidP="00C3304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lastRenderedPageBreak/>
        <w:t>לאור האמור, הערעור נדחה ופסק הדין מאושר על ידינו לפי ס</w:t>
      </w:r>
      <w:r>
        <w:rPr>
          <w:rFonts w:ascii="David" w:hAnsi="David" w:cs="David" w:hint="cs"/>
          <w:sz w:val="24"/>
          <w:szCs w:val="24"/>
          <w:rtl/>
        </w:rPr>
        <w:t>עי</w:t>
      </w:r>
      <w:r w:rsidR="00C33042">
        <w:rPr>
          <w:rFonts w:ascii="David" w:hAnsi="David" w:cs="David"/>
          <w:sz w:val="24"/>
          <w:szCs w:val="24"/>
          <w:rtl/>
        </w:rPr>
        <w:t>ף 148 (ב) לתקנות סדר הדין האזרחי התשע"ט-2018. המערער ישלם למשיבות, הוצאות משפט ושכ"ט עו"ד בסך כולל של 10,000 ₪ שיועברו למשיבות באמצעות בא כוחן, מתוך הפיקדון שהפקיד המערער לקופת בית משפט.</w:t>
      </w:r>
      <w:sdt>
        <w:sdtPr>
          <w:rPr>
            <w:rFonts w:ascii="David" w:hAnsi="David" w:cs="David"/>
            <w:sz w:val="24"/>
            <w:szCs w:val="24"/>
            <w:rtl/>
          </w:rPr>
          <w:alias w:val="2045"/>
          <w:tag w:val="2045"/>
          <w:id w:val="1332954197"/>
          <w:placeholder>
            <w:docPart w:val="ECFB22D3840C4E428B0D4C7E9DE5006F"/>
          </w:placeholder>
          <w:text w:multiLine="1"/>
        </w:sdtPr>
        <w:sdtEndPr/>
        <w:sdtContent>
          <w:r w:rsidR="00240995">
            <w:rPr>
              <w:rFonts w:ascii="David" w:hAnsi="David" w:cs="David"/>
              <w:sz w:val="24"/>
              <w:szCs w:val="24"/>
              <w:rtl/>
            </w:rPr>
            <w:br/>
          </w:r>
          <w:r w:rsidR="00C33042">
            <w:rPr>
              <w:rFonts w:ascii="David" w:hAnsi="David" w:cs="David"/>
              <w:sz w:val="24"/>
              <w:szCs w:val="24"/>
              <w:rtl/>
            </w:rPr>
            <w:br/>
            <w:t xml:space="preserve">יתרה ככל שקיימת תושב למערער באמצעות בא כוחו. </w:t>
          </w:r>
        </w:sdtContent>
      </w:sdt>
    </w:p>
    <w:p w:rsidR="00240995" w:rsidRDefault="00240995" w:rsidP="00860102">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מאי 2023</w:t>
          </w:r>
        </w:sdtContent>
      </w:sdt>
      <w:r w:rsidR="00005C8B">
        <w:rPr>
          <w:rFonts w:ascii="Arial" w:hAnsi="Arial"/>
          <w:noProof w:val="0"/>
          <w:rtl/>
        </w:rPr>
        <w:t>, בהעדר הצדדים.</w:t>
      </w:r>
    </w:p>
    <w:p w:rsidR="00240995" w:rsidRDefault="00240995" w:rsidP="00240995">
      <w:pPr>
        <w:spacing w:line="360" w:lineRule="auto"/>
        <w:rPr>
          <w:noProof w:val="0"/>
          <w:rtl/>
        </w:rPr>
      </w:pPr>
    </w:p>
    <w:p w:rsidR="00240995" w:rsidRDefault="00240995" w:rsidP="00240995">
      <w:pPr>
        <w:spacing w:line="360" w:lineRule="auto"/>
        <w:rPr>
          <w:noProof w:val="0"/>
        </w:rPr>
      </w:pPr>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240995" w:rsidTr="00240995">
        <w:tc>
          <w:tcPr>
            <w:tcW w:w="2891" w:type="dxa"/>
            <w:vAlign w:val="center"/>
            <w:hideMark/>
          </w:tcPr>
          <w:sdt>
            <w:sdtPr>
              <w:rPr>
                <w:rFonts w:cs="Times New Roman"/>
                <w:rtl/>
              </w:rPr>
              <w:alias w:val="MergeField"/>
              <w:tag w:val="2250"/>
              <w:id w:val="-266001795"/>
            </w:sdtPr>
            <w:sdtEndPr/>
            <w:sdtContent>
              <w:p w:rsidR="00240995" w:rsidRDefault="00240995">
                <w:pPr>
                  <w:jc w:val="right"/>
                  <w:rPr>
                    <w:rtl/>
                  </w:rPr>
                </w:pPr>
                <w:r>
                  <w:drawing>
                    <wp:inline distT="0" distB="0" distL="0" distR="0">
                      <wp:extent cx="1447800" cy="10858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08585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1383127505"/>
            </w:sdtPr>
            <w:sdtEndPr/>
            <w:sdtContent>
              <w:p w:rsidR="00240995" w:rsidRDefault="00240995">
                <w:pPr>
                  <w:jc w:val="right"/>
                </w:pPr>
                <w:r>
                  <w:drawing>
                    <wp:inline distT="0" distB="0" distL="0" distR="0">
                      <wp:extent cx="628650" cy="9525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1916937349"/>
            </w:sdtPr>
            <w:sdtEndPr/>
            <w:sdtContent>
              <w:p w:rsidR="00240995" w:rsidRDefault="00240995">
                <w:pPr>
                  <w:jc w:val="right"/>
                </w:pPr>
                <w:r>
                  <w:drawing>
                    <wp:inline distT="0" distB="0" distL="0" distR="0">
                      <wp:extent cx="895350" cy="7048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5350" cy="704850"/>
                              </a:xfrm>
                              <a:prstGeom prst="rect">
                                <a:avLst/>
                              </a:prstGeom>
                              <a:noFill/>
                              <a:ln>
                                <a:noFill/>
                              </a:ln>
                            </pic:spPr>
                          </pic:pic>
                        </a:graphicData>
                      </a:graphic>
                    </wp:inline>
                  </w:drawing>
                </w:r>
              </w:p>
            </w:sdtContent>
          </w:sdt>
        </w:tc>
      </w:tr>
      <w:tr w:rsidR="00240995" w:rsidRPr="00240995" w:rsidTr="00240995">
        <w:tc>
          <w:tcPr>
            <w:tcW w:w="2891" w:type="dxa"/>
            <w:vAlign w:val="center"/>
            <w:hideMark/>
          </w:tcPr>
          <w:p w:rsidR="00240995" w:rsidRPr="00240995" w:rsidRDefault="00240995">
            <w:pPr>
              <w:spacing w:line="360" w:lineRule="auto"/>
              <w:jc w:val="center"/>
              <w:rPr>
                <w:rFonts w:ascii="David" w:hAnsi="David"/>
                <w:b/>
                <w:bCs/>
              </w:rPr>
            </w:pPr>
            <w:r w:rsidRPr="00240995">
              <w:rPr>
                <w:rFonts w:ascii="David" w:hAnsi="David"/>
                <w:b/>
                <w:bCs/>
                <w:rtl/>
              </w:rPr>
              <w:t>סארי</w:t>
            </w:r>
            <w:r w:rsidRPr="00240995">
              <w:rPr>
                <w:rFonts w:hint="cs"/>
                <w:b/>
                <w:bCs/>
                <w:rtl/>
              </w:rPr>
              <w:t xml:space="preserve">  </w:t>
            </w:r>
            <w:r w:rsidRPr="00240995">
              <w:rPr>
                <w:b/>
                <w:bCs/>
                <w:rtl/>
              </w:rPr>
              <w:t>ג'יוסי</w:t>
            </w:r>
            <w:r w:rsidRPr="00240995">
              <w:rPr>
                <w:rFonts w:hint="cs"/>
                <w:b/>
                <w:bCs/>
                <w:rtl/>
              </w:rPr>
              <w:t xml:space="preserve">, </w:t>
            </w:r>
            <w:r w:rsidRPr="00240995">
              <w:rPr>
                <w:b/>
                <w:bCs/>
                <w:rtl/>
              </w:rPr>
              <w:t>שופט</w:t>
            </w:r>
            <w:r>
              <w:rPr>
                <w:rFonts w:ascii="David" w:hAnsi="David" w:hint="cs"/>
                <w:b/>
                <w:bCs/>
                <w:rtl/>
              </w:rPr>
              <w:t xml:space="preserve"> [אב"ד]</w:t>
            </w:r>
          </w:p>
        </w:tc>
        <w:tc>
          <w:tcPr>
            <w:tcW w:w="2891" w:type="dxa"/>
            <w:vAlign w:val="center"/>
            <w:hideMark/>
          </w:tcPr>
          <w:p w:rsidR="00240995" w:rsidRPr="00240995" w:rsidRDefault="00240995">
            <w:pPr>
              <w:spacing w:line="360" w:lineRule="auto"/>
              <w:jc w:val="center"/>
              <w:rPr>
                <w:rFonts w:ascii="David" w:hAnsi="David"/>
                <w:b/>
                <w:bCs/>
                <w:rtl/>
              </w:rPr>
            </w:pPr>
            <w:r w:rsidRPr="00240995">
              <w:rPr>
                <w:rFonts w:ascii="David" w:hAnsi="David"/>
                <w:b/>
                <w:bCs/>
                <w:rtl/>
              </w:rPr>
              <w:t>עפרה</w:t>
            </w:r>
            <w:r w:rsidRPr="00240995">
              <w:rPr>
                <w:rFonts w:hint="cs"/>
                <w:b/>
                <w:bCs/>
                <w:rtl/>
              </w:rPr>
              <w:t xml:space="preserve"> </w:t>
            </w:r>
            <w:r w:rsidRPr="00240995">
              <w:rPr>
                <w:b/>
                <w:bCs/>
                <w:rtl/>
              </w:rPr>
              <w:t>אטיאס</w:t>
            </w:r>
            <w:r w:rsidRPr="00240995">
              <w:rPr>
                <w:rFonts w:hint="cs"/>
                <w:b/>
                <w:bCs/>
                <w:rtl/>
              </w:rPr>
              <w:t xml:space="preserve">, </w:t>
            </w:r>
            <w:r w:rsidRPr="00240995">
              <w:rPr>
                <w:b/>
                <w:bCs/>
                <w:rtl/>
              </w:rPr>
              <w:t>שופטת</w:t>
            </w:r>
          </w:p>
        </w:tc>
        <w:tc>
          <w:tcPr>
            <w:tcW w:w="2891" w:type="dxa"/>
            <w:vAlign w:val="center"/>
            <w:hideMark/>
          </w:tcPr>
          <w:p w:rsidR="00240995" w:rsidRPr="00240995" w:rsidRDefault="00240995">
            <w:pPr>
              <w:spacing w:line="360" w:lineRule="auto"/>
              <w:jc w:val="center"/>
              <w:rPr>
                <w:rFonts w:ascii="David" w:hAnsi="David"/>
                <w:b/>
                <w:bCs/>
                <w:rtl/>
              </w:rPr>
            </w:pPr>
            <w:r w:rsidRPr="00240995">
              <w:rPr>
                <w:rFonts w:ascii="David" w:hAnsi="David"/>
                <w:b/>
                <w:bCs/>
                <w:rtl/>
              </w:rPr>
              <w:t>ניצן</w:t>
            </w:r>
            <w:r w:rsidRPr="00240995">
              <w:rPr>
                <w:rFonts w:hint="cs"/>
                <w:b/>
                <w:bCs/>
                <w:rtl/>
              </w:rPr>
              <w:t xml:space="preserve"> </w:t>
            </w:r>
            <w:r w:rsidRPr="00240995">
              <w:rPr>
                <w:b/>
                <w:bCs/>
                <w:rtl/>
              </w:rPr>
              <w:t>סילמן</w:t>
            </w:r>
            <w:r w:rsidRPr="00240995">
              <w:rPr>
                <w:rFonts w:hint="cs"/>
                <w:b/>
                <w:bCs/>
                <w:rtl/>
              </w:rPr>
              <w:t xml:space="preserve">, </w:t>
            </w:r>
            <w:r w:rsidRPr="00240995">
              <w:rPr>
                <w:b/>
                <w:bCs/>
                <w:rtl/>
              </w:rPr>
              <w:t>שופט</w:t>
            </w:r>
          </w:p>
        </w:tc>
      </w:tr>
    </w:tbl>
    <w:p w:rsidR="00240995" w:rsidRDefault="00240995" w:rsidP="00240995">
      <w:pPr>
        <w:spacing w:line="360" w:lineRule="auto"/>
        <w:jc w:val="both"/>
        <w:rPr>
          <w:rFonts w:ascii="Arial" w:hAnsi="Arial"/>
          <w:noProof w:val="0"/>
          <w:rtl/>
        </w:rPr>
      </w:pPr>
    </w:p>
    <w:sectPr w:rsidR="00240995"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2CC" w:rsidRDefault="003D62CC">
      <w:r>
        <w:separator/>
      </w:r>
    </w:p>
  </w:endnote>
  <w:endnote w:type="continuationSeparator" w:id="0">
    <w:p w:rsidR="003D62CC" w:rsidRDefault="003D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E39" w:rsidRDefault="003B4E3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D050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D0504">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E39" w:rsidRDefault="003B4E3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2CC" w:rsidRDefault="003D62CC">
      <w:r>
        <w:separator/>
      </w:r>
    </w:p>
  </w:footnote>
  <w:footnote w:type="continuationSeparator" w:id="0">
    <w:p w:rsidR="003D62CC" w:rsidRDefault="003D6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E39" w:rsidRDefault="003B4E3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D62CC" w:rsidP="00ED6EB2">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34136-11-22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ב</w:t>
              </w:r>
              <w:r w:rsidR="00ED6EB2">
                <w:rPr>
                  <w:rFonts w:hint="cs"/>
                  <w:b/>
                  <w:bCs/>
                  <w:noProof w:val="0"/>
                  <w:sz w:val="26"/>
                  <w:szCs w:val="26"/>
                  <w:rtl/>
                </w:rPr>
                <w:t>'</w:t>
              </w:r>
              <w:r w:rsidR="00B859C5">
                <w:rPr>
                  <w:b/>
                  <w:bCs/>
                  <w:noProof w:val="0"/>
                  <w:sz w:val="26"/>
                  <w:szCs w:val="26"/>
                  <w:rtl/>
                </w:rPr>
                <w:t xml:space="preserve"> נ' ב</w:t>
              </w:r>
              <w:r w:rsidR="00ED6EB2">
                <w:rPr>
                  <w:rFonts w:hint="cs"/>
                  <w:b/>
                  <w:bCs/>
                  <w:noProof w:val="0"/>
                  <w:sz w:val="26"/>
                  <w:szCs w:val="26"/>
                  <w:rtl/>
                </w:rPr>
                <w:t>'</w:t>
              </w:r>
              <w:r w:rsidR="00B859C5">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E39" w:rsidRDefault="003B4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2A3BE0"/>
    <w:multiLevelType w:val="hybridMultilevel"/>
    <w:tmpl w:val="818A282A"/>
    <w:lvl w:ilvl="0" w:tplc="757239BA">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1" w15:restartNumberingAfterBreak="0">
    <w:nsid w:val="4A2E7D23"/>
    <w:multiLevelType w:val="hybridMultilevel"/>
    <w:tmpl w:val="D3EC93A4"/>
    <w:lvl w:ilvl="0" w:tplc="757239BA">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2" w15:restartNumberingAfterBreak="0">
    <w:nsid w:val="54575CDA"/>
    <w:multiLevelType w:val="hybridMultilevel"/>
    <w:tmpl w:val="AF6C450A"/>
    <w:lvl w:ilvl="0" w:tplc="2036030C">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D2A58EE"/>
    <w:multiLevelType w:val="hybridMultilevel"/>
    <w:tmpl w:val="457632DC"/>
    <w:lvl w:ilvl="0" w:tplc="9E9C6C96">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4" w15:restartNumberingAfterBreak="0">
    <w:nsid w:val="62C616D1"/>
    <w:multiLevelType w:val="hybridMultilevel"/>
    <w:tmpl w:val="C13828BC"/>
    <w:lvl w:ilvl="0" w:tplc="757239BA">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1F65D3"/>
    <w:rsid w:val="002265FF"/>
    <w:rsid w:val="00240995"/>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0B16"/>
    <w:rsid w:val="003A4521"/>
    <w:rsid w:val="003B4E39"/>
    <w:rsid w:val="003D1C8C"/>
    <w:rsid w:val="003D62CC"/>
    <w:rsid w:val="003E38C7"/>
    <w:rsid w:val="0040096C"/>
    <w:rsid w:val="00414F1F"/>
    <w:rsid w:val="0043125D"/>
    <w:rsid w:val="0043502B"/>
    <w:rsid w:val="004443AC"/>
    <w:rsid w:val="00444B02"/>
    <w:rsid w:val="00451E28"/>
    <w:rsid w:val="00462C62"/>
    <w:rsid w:val="00465D36"/>
    <w:rsid w:val="004C17EE"/>
    <w:rsid w:val="004C4BDF"/>
    <w:rsid w:val="004D0504"/>
    <w:rsid w:val="004D1187"/>
    <w:rsid w:val="004D3AA0"/>
    <w:rsid w:val="004E1987"/>
    <w:rsid w:val="004E2E15"/>
    <w:rsid w:val="004E6E3C"/>
    <w:rsid w:val="004F0F6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45A68"/>
    <w:rsid w:val="0066031B"/>
    <w:rsid w:val="00671BD5"/>
    <w:rsid w:val="006805C1"/>
    <w:rsid w:val="00686C21"/>
    <w:rsid w:val="006931C1"/>
    <w:rsid w:val="00694556"/>
    <w:rsid w:val="006B419E"/>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566CA"/>
    <w:rsid w:val="00860102"/>
    <w:rsid w:val="00863F5D"/>
    <w:rsid w:val="00870890"/>
    <w:rsid w:val="00873602"/>
    <w:rsid w:val="00875D12"/>
    <w:rsid w:val="00876170"/>
    <w:rsid w:val="0088479D"/>
    <w:rsid w:val="00891F42"/>
    <w:rsid w:val="00896889"/>
    <w:rsid w:val="008A6E97"/>
    <w:rsid w:val="008C5714"/>
    <w:rsid w:val="008D10B2"/>
    <w:rsid w:val="008E605B"/>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60E18"/>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3042"/>
    <w:rsid w:val="00C34482"/>
    <w:rsid w:val="00C43648"/>
    <w:rsid w:val="00C50A9F"/>
    <w:rsid w:val="00C642FA"/>
    <w:rsid w:val="00C770E3"/>
    <w:rsid w:val="00CC7622"/>
    <w:rsid w:val="00CD608F"/>
    <w:rsid w:val="00CF6BB7"/>
    <w:rsid w:val="00D003B2"/>
    <w:rsid w:val="00D04AA4"/>
    <w:rsid w:val="00D27982"/>
    <w:rsid w:val="00D33B86"/>
    <w:rsid w:val="00D44968"/>
    <w:rsid w:val="00D53924"/>
    <w:rsid w:val="00D55D0C"/>
    <w:rsid w:val="00D5653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D6EB2"/>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33042"/>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454623">
      <w:bodyDiv w:val="1"/>
      <w:marLeft w:val="0"/>
      <w:marRight w:val="0"/>
      <w:marTop w:val="0"/>
      <w:marBottom w:val="0"/>
      <w:divBdr>
        <w:top w:val="none" w:sz="0" w:space="0" w:color="auto"/>
        <w:left w:val="none" w:sz="0" w:space="0" w:color="auto"/>
        <w:bottom w:val="none" w:sz="0" w:space="0" w:color="auto"/>
        <w:right w:val="none" w:sz="0" w:space="0" w:color="auto"/>
      </w:divBdr>
    </w:div>
    <w:div w:id="102420689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ECFB22D3840C4E428B0D4C7E9DE5006F"/>
        <w:category>
          <w:name w:val="כללי"/>
          <w:gallery w:val="placeholder"/>
        </w:category>
        <w:types>
          <w:type w:val="bbPlcHdr"/>
        </w:types>
        <w:behaviors>
          <w:behavior w:val="content"/>
        </w:behaviors>
        <w:guid w:val="{6D50780E-8DD3-4935-8BCB-12CD4D9923C8}"/>
      </w:docPartPr>
      <w:docPartBody>
        <w:p w:rsidR="00C911B9" w:rsidRDefault="009414E2" w:rsidP="009414E2">
          <w:pPr>
            <w:pStyle w:val="ECFB22D3840C4E428B0D4C7E9DE5006F"/>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3E4BB9"/>
    <w:rsid w:val="00423B62"/>
    <w:rsid w:val="0048651F"/>
    <w:rsid w:val="005157ED"/>
    <w:rsid w:val="005171E8"/>
    <w:rsid w:val="00556D67"/>
    <w:rsid w:val="00793995"/>
    <w:rsid w:val="007C6F98"/>
    <w:rsid w:val="007E254A"/>
    <w:rsid w:val="00800F92"/>
    <w:rsid w:val="00817811"/>
    <w:rsid w:val="008B4366"/>
    <w:rsid w:val="009133C7"/>
    <w:rsid w:val="009178E4"/>
    <w:rsid w:val="009414E2"/>
    <w:rsid w:val="00961B27"/>
    <w:rsid w:val="009A4BEE"/>
    <w:rsid w:val="00A51CA1"/>
    <w:rsid w:val="00AA7CE3"/>
    <w:rsid w:val="00AD53D7"/>
    <w:rsid w:val="00B50DB2"/>
    <w:rsid w:val="00B91FA3"/>
    <w:rsid w:val="00BE6557"/>
    <w:rsid w:val="00C911B9"/>
    <w:rsid w:val="00C96C06"/>
    <w:rsid w:val="00CE1DCB"/>
    <w:rsid w:val="00D24521"/>
    <w:rsid w:val="00D41FAC"/>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414E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9414E2"/>
    <w:pPr>
      <w:bidi/>
      <w:spacing w:after="0" w:line="240" w:lineRule="auto"/>
    </w:pPr>
    <w:rPr>
      <w:rFonts w:ascii="Times New Roman" w:eastAsia="Times New Roman" w:hAnsi="Times New Roman" w:cs="David"/>
      <w:noProof/>
      <w:sz w:val="24"/>
      <w:szCs w:val="24"/>
    </w:rPr>
  </w:style>
  <w:style w:type="paragraph" w:customStyle="1" w:styleId="ECFB22D3840C4E428B0D4C7E9DE5006F">
    <w:name w:val="ECFB22D3840C4E428B0D4C7E9DE5006F"/>
    <w:rsid w:val="009414E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2851</Words>
  <Characters>14258</Characters>
  <Application>Microsoft Office Word</Application>
  <DocSecurity>0</DocSecurity>
  <Lines>118</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2023-06-18T06:30:00Z</dcterms:created>
  <dcterms:modified xsi:type="dcterms:W3CDTF">2023-06-18T06:30:00Z</dcterms:modified>
</cp:coreProperties>
</file>